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D0A" w:rsidRPr="00FD4D0A" w:rsidRDefault="00FD4D0A" w:rsidP="00FD4D0A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D4D0A">
        <w:rPr>
          <w:rFonts w:ascii="Times New Roman" w:hAnsi="Times New Roman" w:cs="Times New Roman"/>
          <w:b/>
          <w:bCs/>
          <w:sz w:val="28"/>
          <w:szCs w:val="28"/>
        </w:rPr>
        <w:t>ВЗАИМОДЕЙСТВИЕ С ГРАЖДАНАМИ И ЮРИДИЧЕСКИМИ ЛИЦАМИ</w:t>
      </w:r>
    </w:p>
    <w:p w:rsidR="00FD4D0A" w:rsidRPr="00FD4D0A" w:rsidRDefault="00FD4D0A" w:rsidP="00FD4D0A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b/>
          <w:bCs/>
          <w:sz w:val="28"/>
          <w:szCs w:val="28"/>
        </w:rPr>
        <w:t>ПО ВОПРОСАМ БОРЬБЫ С КОРРУПЦИЕЙ</w:t>
      </w:r>
    </w:p>
    <w:bookmarkEnd w:id="0"/>
    <w:p w:rsidR="00FD4D0A" w:rsidRPr="00FD4D0A" w:rsidRDefault="00FD4D0A" w:rsidP="00FD4D0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sz w:val="28"/>
          <w:szCs w:val="28"/>
        </w:rPr>
        <w:t>В соответствии с Типовым положением о комиссии по противодействию коррупции, утвержденным Постановлением Совета Министров Республики Беларусь от 26.12.2011 №1732,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FD4D0A" w:rsidRPr="00FD4D0A" w:rsidRDefault="00FD4D0A" w:rsidP="00FD4D0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FD4D0A" w:rsidRPr="00FD4D0A" w:rsidRDefault="00FD4D0A" w:rsidP="00FD4D0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FD4D0A" w:rsidRPr="00FD4D0A" w:rsidRDefault="00FD4D0A" w:rsidP="00FD4D0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3A3E4E" w:rsidRPr="00FD4D0A" w:rsidRDefault="00FD4D0A" w:rsidP="00FD4D0A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0A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sectPr w:rsidR="003A3E4E" w:rsidRPr="00FD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0A"/>
    <w:rsid w:val="003A3E4E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040F"/>
  <w15:chartTrackingRefBased/>
  <w15:docId w15:val="{A6B28C25-CE41-4F54-80D1-A1BB43D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2024-02-06T07:51:00Z</dcterms:created>
  <dcterms:modified xsi:type="dcterms:W3CDTF">2024-02-06T07:53:00Z</dcterms:modified>
</cp:coreProperties>
</file>