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leftFromText="187" w:rightFromText="187" w:bottomFromText="720" w:vertAnchor="page" w:horzAnchor="margin" w:tblpY="10466"/>
        <w:tblW w:w="5000" w:type="pct"/>
        <w:tblLook w:val="04A0" w:firstRow="1" w:lastRow="0" w:firstColumn="1" w:lastColumn="0" w:noHBand="0" w:noVBand="1"/>
      </w:tblPr>
      <w:tblGrid>
        <w:gridCol w:w="10280"/>
      </w:tblGrid>
      <w:tr w:rsidR="00EF4FB5" w:rsidTr="008233A0">
        <w:tc>
          <w:tcPr>
            <w:tcW w:w="10280" w:type="dxa"/>
          </w:tcPr>
          <w:p w:rsidR="00EF4FB5" w:rsidRDefault="00C000C8" w:rsidP="00EF4FB5">
            <w:pPr>
              <w:pStyle w:val="a5"/>
              <w:jc w:val="center"/>
              <w:rPr>
                <w:color w:val="EEECE1" w:themeColor="background2"/>
                <w:sz w:val="96"/>
                <w:szCs w:val="9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72"/>
                  <w:szCs w:val="96"/>
                </w:rPr>
                <w:alias w:val="Название"/>
                <w:id w:val="1274589637"/>
                <w:placeholder>
                  <w:docPart w:val="8D233A85F8214617932B3B0B41A2051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807E37">
                  <w:rPr>
                    <w:rFonts w:ascii="Times New Roman" w:hAnsi="Times New Roman" w:cs="Times New Roman"/>
                    <w:b/>
                    <w:color w:val="auto"/>
                    <w:sz w:val="72"/>
                    <w:szCs w:val="96"/>
                  </w:rPr>
                  <w:t>ПРОФИЛЬ ЗДОРОВЬЯ</w:t>
                </w:r>
              </w:sdtContent>
            </w:sdt>
          </w:p>
        </w:tc>
      </w:tr>
      <w:tr w:rsidR="00EF4FB5" w:rsidTr="008233A0">
        <w:tc>
          <w:tcPr>
            <w:tcW w:w="0" w:type="auto"/>
            <w:vAlign w:val="bottom"/>
          </w:tcPr>
          <w:p w:rsidR="00EF4FB5" w:rsidRPr="00501B75" w:rsidRDefault="00C000C8" w:rsidP="00EF4FB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 w:val="0"/>
                  <w:color w:val="auto"/>
                  <w:sz w:val="32"/>
                </w:rPr>
                <w:alias w:val="Подзаголовок"/>
                <w:id w:val="1194108113"/>
                <w:placeholder>
                  <w:docPart w:val="76B41155644645BDBF455661508CDBB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E874F7" w:rsidRPr="00E874F7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 xml:space="preserve">«АГРОГОРОДОК </w:t>
                </w:r>
                <w:r w:rsidR="00E874F7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>ЛУЧНИКИ</w:t>
                </w:r>
                <w:r w:rsidR="00E874F7" w:rsidRPr="00E874F7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 xml:space="preserve"> – ЗДОРОВЫЙ ПОСЁЛОК»</w:t>
                </w:r>
              </w:sdtContent>
            </w:sdt>
          </w:p>
        </w:tc>
      </w:tr>
      <w:tr w:rsidR="00EF4FB5" w:rsidRPr="00501B75" w:rsidTr="003B7B68">
        <w:trPr>
          <w:trHeight w:val="761"/>
        </w:trPr>
        <w:tc>
          <w:tcPr>
            <w:tcW w:w="0" w:type="auto"/>
            <w:vAlign w:val="bottom"/>
          </w:tcPr>
          <w:p w:rsidR="00EF4FB5" w:rsidRPr="00501B75" w:rsidRDefault="00E874F7" w:rsidP="00EF4FB5">
            <w:pPr>
              <w:jc w:val="center"/>
              <w:rPr>
                <w:color w:val="FFFFFF" w:themeColor="background1"/>
                <w:lang w:val="ru-RU"/>
              </w:rPr>
            </w:pPr>
            <w:r w:rsidRPr="00E874F7">
              <w:rPr>
                <w:rFonts w:ascii="Times New Roman" w:hAnsi="Times New Roman" w:cs="Times New Roman"/>
                <w:b/>
                <w:sz w:val="32"/>
              </w:rPr>
              <w:t>2025</w:t>
            </w:r>
          </w:p>
        </w:tc>
      </w:tr>
      <w:tr w:rsidR="00EF4FB5" w:rsidRPr="00501B75" w:rsidTr="008233A0">
        <w:trPr>
          <w:trHeight w:val="432"/>
        </w:trPr>
        <w:tc>
          <w:tcPr>
            <w:tcW w:w="0" w:type="auto"/>
            <w:vAlign w:val="bottom"/>
          </w:tcPr>
          <w:p w:rsidR="00EF4FB5" w:rsidRPr="00501B75" w:rsidRDefault="00EF4FB5" w:rsidP="00EF4FB5">
            <w:pPr>
              <w:jc w:val="center"/>
              <w:rPr>
                <w:color w:val="1F497D" w:themeColor="text2"/>
                <w:lang w:val="ru-RU"/>
              </w:rPr>
            </w:pPr>
          </w:p>
        </w:tc>
      </w:tr>
    </w:tbl>
    <w:p w:rsidR="002B0C43" w:rsidRDefault="002B0C43" w:rsidP="00647ACF">
      <w:pPr>
        <w:overflowPunct/>
        <w:jc w:val="center"/>
        <w:rPr>
          <w:rFonts w:ascii="Times New Roman" w:eastAsiaTheme="majorEastAsia" w:hAnsi="Times New Roman" w:cs="Times New Roman"/>
          <w:color w:val="FFFFFF" w:themeColor="background1"/>
          <w:kern w:val="0"/>
          <w:sz w:val="48"/>
          <w:szCs w:val="72"/>
          <w:lang w:val="ru-RU" w:eastAsia="ru-RU" w:bidi="ar-SA"/>
        </w:rPr>
      </w:pPr>
      <w:r>
        <w:rPr>
          <w:noProof/>
          <w:color w:val="FFFFFF" w:themeColor="background1"/>
          <w:lang w:val="ru-RU" w:eastAsia="ru-RU" w:bidi="ar-SA"/>
        </w:rPr>
        <w:drawing>
          <wp:anchor distT="0" distB="0" distL="114300" distR="114300" simplePos="0" relativeHeight="251663360" behindDoc="1" locked="0" layoutInCell="1" allowOverlap="1" wp14:anchorId="00221215" wp14:editId="361C6D5F">
            <wp:simplePos x="0" y="0"/>
            <wp:positionH relativeFrom="column">
              <wp:posOffset>4534535</wp:posOffset>
            </wp:positionH>
            <wp:positionV relativeFrom="paragraph">
              <wp:posOffset>-357505</wp:posOffset>
            </wp:positionV>
            <wp:extent cx="1662430" cy="1002665"/>
            <wp:effectExtent l="0" t="0" r="0" b="6985"/>
            <wp:wrapThrough wrapText="bothSides">
              <wp:wrapPolygon edited="0">
                <wp:start x="0" y="0"/>
                <wp:lineTo x="0" y="21340"/>
                <wp:lineTo x="21286" y="21340"/>
                <wp:lineTo x="21286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Здоровый горо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Times New Roman" w:eastAsiaTheme="majorEastAsia" w:hAnsi="Times New Roman" w:cs="Times New Roman"/>
          <w:color w:val="FFFFFF" w:themeColor="background1"/>
          <w:kern w:val="0"/>
          <w:sz w:val="48"/>
          <w:szCs w:val="72"/>
          <w:lang w:val="ru-RU" w:eastAsia="ru-RU" w:bidi="ar-SA"/>
        </w:rPr>
        <w:id w:val="-665793555"/>
        <w:docPartObj>
          <w:docPartGallery w:val="Cover Pages"/>
          <w:docPartUnique/>
        </w:docPartObj>
      </w:sdtPr>
      <w:sdtEndPr/>
      <w:sdtContent>
        <w:p w:rsidR="00C511C6" w:rsidRDefault="00C511C6" w:rsidP="00647ACF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  <w:p w:rsidR="00C511C6" w:rsidRDefault="00C511C6" w:rsidP="00647ACF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  <w:r>
            <w:rPr>
              <w:rFonts w:ascii="Times New Roman" w:eastAsiaTheme="majorEastAsia" w:hAnsi="Times New Roman" w:cs="Times New Roman"/>
              <w:noProof/>
              <w:color w:val="FFFFFF" w:themeColor="background1"/>
              <w:kern w:val="0"/>
              <w:sz w:val="48"/>
              <w:szCs w:val="72"/>
              <w:lang w:val="ru-RU" w:eastAsia="ru-RU" w:bidi="ar-SA"/>
            </w:rPr>
            <w:drawing>
              <wp:inline distT="0" distB="0" distL="0" distR="0" wp14:anchorId="7B9CA2C3" wp14:editId="431D057B">
                <wp:extent cx="5629275" cy="35433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9275" cy="3543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C511C6" w:rsidRDefault="00C511C6" w:rsidP="00647ACF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  <w:p w:rsidR="00E874F7" w:rsidRDefault="002D5373" w:rsidP="00E874F7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B68163A" wp14:editId="7329810A">
                    <wp:simplePos x="0" y="0"/>
                    <wp:positionH relativeFrom="rightMargin">
                      <wp:posOffset>47330</wp:posOffset>
                    </wp:positionH>
                    <wp:positionV relativeFrom="page">
                      <wp:posOffset>641985</wp:posOffset>
                    </wp:positionV>
                    <wp:extent cx="731520" cy="1021080"/>
                    <wp:effectExtent l="0" t="0" r="0" b="7620"/>
                    <wp:wrapNone/>
                    <wp:docPr id="247" name="Прямоугольник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1520" cy="102108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19E45C4" id="Прямоугольник 7" o:spid="_x0000_s1026" style="position:absolute;margin-left:3.75pt;margin-top:50.55pt;width:57.6pt;height:80.4pt;z-index:25166233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80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4851E6" wp14:editId="637AA25E">
                    <wp:simplePos x="0" y="0"/>
                    <mc:AlternateContent>
                      <mc:Choice Requires="wp14">
                        <wp:positionH relativeFrom="rightMargin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7254240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748030</wp:posOffset>
                        </wp:positionV>
                      </mc:Fallback>
                    </mc:AlternateContent>
                    <wp:extent cx="105410" cy="840740"/>
                    <wp:effectExtent l="0" t="0" r="0" b="0"/>
                    <wp:wrapNone/>
                    <wp:docPr id="246" name="Прямоугольник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5410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11500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DF10881" id="Прямоугольник 6" o:spid="_x0000_s1026" style="position:absolute;margin-left:0;margin-top:0;width:8.3pt;height:66.2pt;z-index:251661312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  <w:br w:type="page"/>
          </w:r>
        </w:p>
      </w:sdtContent>
    </w:sdt>
    <w:p w:rsidR="002D5373" w:rsidRPr="00E874F7" w:rsidRDefault="002D5373" w:rsidP="00E874F7">
      <w:pPr>
        <w:overflowPunct/>
        <w:jc w:val="center"/>
        <w:rPr>
          <w:rFonts w:ascii="Times New Roman" w:eastAsiaTheme="majorEastAsia" w:hAnsi="Times New Roman" w:cs="Times New Roman"/>
          <w:color w:val="FFFFFF" w:themeColor="background1"/>
          <w:kern w:val="0"/>
          <w:sz w:val="48"/>
          <w:szCs w:val="72"/>
          <w:lang w:val="ru-RU" w:eastAsia="ru-RU" w:bidi="ar-SA"/>
        </w:rPr>
      </w:pPr>
      <w:r w:rsidRPr="00A87A6C"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>ПРОФИЛЬ ЗДОРОВЬЯ 202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>5</w:t>
      </w:r>
    </w:p>
    <w:p w:rsidR="002D5373" w:rsidRPr="00A87A6C" w:rsidRDefault="002D5373" w:rsidP="002D53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t>Агрогородок</w:t>
      </w:r>
      <w:r w:rsidR="00163EDE">
        <w:rPr>
          <w:rFonts w:ascii="Times New Roman" w:hAnsi="Times New Roman" w:cs="Times New Roman"/>
          <w:b/>
          <w:sz w:val="36"/>
          <w:szCs w:val="28"/>
          <w:lang w:val="ru-RU"/>
        </w:rPr>
        <w:t xml:space="preserve"> Лучники – </w:t>
      </w:r>
      <w:r w:rsidR="00E874F7">
        <w:rPr>
          <w:rFonts w:ascii="Times New Roman" w:hAnsi="Times New Roman" w:cs="Times New Roman"/>
          <w:b/>
          <w:sz w:val="36"/>
          <w:szCs w:val="28"/>
          <w:lang w:val="ru-RU"/>
        </w:rPr>
        <w:t>з</w:t>
      </w:r>
      <w:r w:rsidR="00163EDE">
        <w:rPr>
          <w:rFonts w:ascii="Times New Roman" w:hAnsi="Times New Roman" w:cs="Times New Roman"/>
          <w:b/>
          <w:sz w:val="36"/>
          <w:szCs w:val="28"/>
          <w:lang w:val="ru-RU"/>
        </w:rPr>
        <w:t>до</w:t>
      </w:r>
      <w:r w:rsidR="000411D9">
        <w:rPr>
          <w:rFonts w:ascii="Times New Roman" w:hAnsi="Times New Roman" w:cs="Times New Roman"/>
          <w:b/>
          <w:sz w:val="36"/>
          <w:szCs w:val="28"/>
          <w:lang w:val="ru-RU"/>
        </w:rPr>
        <w:t>ровый посёлок</w:t>
      </w:r>
    </w:p>
    <w:p w:rsidR="002D5373" w:rsidRPr="004D25CF" w:rsidRDefault="002D5373" w:rsidP="002D5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7F290D0" wp14:editId="7FAA1F61">
            <wp:simplePos x="0" y="0"/>
            <wp:positionH relativeFrom="margin">
              <wp:posOffset>-270510</wp:posOffset>
            </wp:positionH>
            <wp:positionV relativeFrom="margin">
              <wp:posOffset>584835</wp:posOffset>
            </wp:positionV>
            <wp:extent cx="2708910" cy="2752725"/>
            <wp:effectExtent l="0" t="0" r="0" b="9525"/>
            <wp:wrapSquare wrapText="bothSides"/>
            <wp:docPr id="2" name="Рисунок 2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373" w:rsidRPr="00693668" w:rsidRDefault="00E874F7" w:rsidP="00E874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Решением</w:t>
      </w:r>
      <w:r w:rsidR="002D5373">
        <w:rPr>
          <w:rFonts w:ascii="Times New Roman" w:hAnsi="Times New Roman" w:cs="Times New Roman"/>
          <w:b/>
          <w:bCs/>
          <w:lang w:val="ru-RU"/>
        </w:rPr>
        <w:t xml:space="preserve"> Слуцкого районного Совета депутатов Минской области</w:t>
      </w:r>
      <w:r w:rsidR="00726696">
        <w:rPr>
          <w:rFonts w:ascii="Times New Roman" w:hAnsi="Times New Roman" w:cs="Times New Roman"/>
          <w:b/>
          <w:bCs/>
          <w:lang w:val="ru-RU"/>
        </w:rPr>
        <w:t xml:space="preserve"> №36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от </w:t>
      </w:r>
      <w:r w:rsidR="00726696">
        <w:rPr>
          <w:rFonts w:ascii="Times New Roman" w:hAnsi="Times New Roman" w:cs="Times New Roman"/>
          <w:b/>
          <w:bCs/>
          <w:lang w:val="ru-RU"/>
        </w:rPr>
        <w:t>17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26696">
        <w:rPr>
          <w:rFonts w:ascii="Times New Roman" w:hAnsi="Times New Roman" w:cs="Times New Roman"/>
          <w:b/>
          <w:bCs/>
          <w:lang w:val="ru-RU"/>
        </w:rPr>
        <w:t>декабря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726696">
        <w:rPr>
          <w:rFonts w:ascii="Times New Roman" w:hAnsi="Times New Roman" w:cs="Times New Roman"/>
          <w:b/>
          <w:bCs/>
          <w:lang w:val="ru-RU"/>
        </w:rPr>
        <w:t>4</w:t>
      </w:r>
      <w:r w:rsidR="002D537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г. утверждён  Комплексный план основных мероприятий по реализации на территории </w:t>
      </w:r>
      <w:proofErr w:type="spellStart"/>
      <w:r w:rsidR="002D5373" w:rsidRPr="00693668">
        <w:rPr>
          <w:rFonts w:ascii="Times New Roman" w:hAnsi="Times New Roman" w:cs="Times New Roman"/>
          <w:b/>
          <w:bCs/>
          <w:lang w:val="ru-RU"/>
        </w:rPr>
        <w:t>аг</w:t>
      </w:r>
      <w:proofErr w:type="spellEnd"/>
      <w:r w:rsidR="002D5373" w:rsidRPr="00693668">
        <w:rPr>
          <w:rFonts w:ascii="Times New Roman" w:hAnsi="Times New Roman" w:cs="Times New Roman"/>
          <w:b/>
          <w:bCs/>
          <w:lang w:val="ru-RU"/>
        </w:rPr>
        <w:t>.</w:t>
      </w:r>
      <w:r w:rsidR="002D537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26696">
        <w:rPr>
          <w:rFonts w:ascii="Times New Roman" w:hAnsi="Times New Roman" w:cs="Times New Roman"/>
          <w:b/>
          <w:bCs/>
          <w:lang w:val="ru-RU"/>
        </w:rPr>
        <w:t>Лучники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Слуцкого района  профилактического проекта «Агрогородок </w:t>
      </w:r>
      <w:r w:rsidR="00C511C6">
        <w:rPr>
          <w:rFonts w:ascii="Times New Roman" w:hAnsi="Times New Roman" w:cs="Times New Roman"/>
          <w:b/>
          <w:bCs/>
          <w:lang w:val="ru-RU"/>
        </w:rPr>
        <w:t>Лучники – здоровый посёлок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» на 202</w:t>
      </w:r>
      <w:r w:rsidR="00C511C6">
        <w:rPr>
          <w:rFonts w:ascii="Times New Roman" w:hAnsi="Times New Roman" w:cs="Times New Roman"/>
          <w:b/>
          <w:bCs/>
          <w:lang w:val="ru-RU"/>
        </w:rPr>
        <w:t>5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-202</w:t>
      </w:r>
      <w:r w:rsidR="00C511C6">
        <w:rPr>
          <w:rFonts w:ascii="Times New Roman" w:hAnsi="Times New Roman" w:cs="Times New Roman"/>
          <w:b/>
          <w:bCs/>
          <w:lang w:val="ru-RU"/>
        </w:rPr>
        <w:t>7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г.</w:t>
      </w:r>
    </w:p>
    <w:p w:rsidR="00446397" w:rsidRDefault="00E874F7" w:rsidP="00E874F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2D5373" w:rsidRPr="004D25CF">
        <w:rPr>
          <w:rFonts w:ascii="Times New Roman" w:hAnsi="Times New Roman" w:cs="Times New Roman"/>
          <w:lang w:val="ru-RU"/>
        </w:rPr>
        <w:t xml:space="preserve">Слуцкий район расположен в южной части Минской области, граничит с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Солигорским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Копыльским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Узденским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Пуховичским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Стародорожским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Любанским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 районами. </w:t>
      </w:r>
      <w:r w:rsidR="002D5373" w:rsidRPr="00501B75">
        <w:rPr>
          <w:rFonts w:ascii="Times New Roman" w:hAnsi="Times New Roman" w:cs="Times New Roman"/>
          <w:lang w:val="ru-RU"/>
        </w:rPr>
        <w:t>Его площадь — 1821 км2. В районе 207 населенных пунктов.</w:t>
      </w:r>
    </w:p>
    <w:p w:rsidR="00446397" w:rsidRDefault="00E874F7" w:rsidP="00E874F7">
      <w:pPr>
        <w:spacing w:after="0" w:line="240" w:lineRule="auto"/>
        <w:ind w:left="3969" w:hanging="396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color w:val="202122"/>
          <w:shd w:val="clear" w:color="auto" w:fill="FFFFFF"/>
          <w:lang w:val="ru-RU"/>
        </w:rPr>
        <w:tab/>
        <w:t>Лучники</w:t>
      </w:r>
      <w:r w:rsidRPr="00E874F7">
        <w:rPr>
          <w:rFonts w:ascii="Times New Roman" w:hAnsi="Times New Roman" w:cs="Times New Roman"/>
          <w:b/>
          <w:color w:val="202122"/>
          <w:shd w:val="clear" w:color="auto" w:fill="FFFFFF"/>
          <w:lang w:val="ru-RU"/>
        </w:rPr>
        <w:t xml:space="preserve"> </w:t>
      </w:r>
      <w:r w:rsidR="00446397" w:rsidRPr="00E874F7">
        <w:rPr>
          <w:rFonts w:ascii="Times New Roman" w:hAnsi="Times New Roman" w:cs="Times New Roman"/>
          <w:b/>
          <w:color w:val="202122"/>
          <w:shd w:val="clear" w:color="auto" w:fill="FFFFFF"/>
          <w:lang w:val="ru-RU"/>
        </w:rPr>
        <w:t>(</w:t>
      </w:r>
      <w:hyperlink r:id="rId8" w:tooltip="Белорусский язык" w:history="1">
        <w:r w:rsidR="00446397" w:rsidRPr="00E874F7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FFFFF"/>
            <w:lang w:val="ru-RU"/>
          </w:rPr>
          <w:t>бел.</w:t>
        </w:r>
      </w:hyperlink>
      <w:r w:rsidRPr="00E874F7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446397" w:rsidRPr="00E874F7">
        <w:rPr>
          <w:rFonts w:ascii="Times New Roman" w:hAnsi="Times New Roman" w:cs="Times New Roman"/>
          <w:iCs/>
          <w:color w:val="202122"/>
          <w:shd w:val="clear" w:color="auto" w:fill="FFFFFF"/>
          <w:lang w:val="be-BY"/>
        </w:rPr>
        <w:t>Лучнікі</w:t>
      </w:r>
      <w:r w:rsidR="00446397" w:rsidRPr="00E874F7">
        <w:rPr>
          <w:rFonts w:ascii="Times New Roman" w:hAnsi="Times New Roman" w:cs="Times New Roman"/>
          <w:color w:val="202122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202122"/>
          <w:shd w:val="clear" w:color="auto" w:fill="FFFFFF"/>
          <w:lang w:val="ru-RU"/>
        </w:rPr>
        <w:t xml:space="preserve"> </w:t>
      </w:r>
      <w:r w:rsidR="00446397" w:rsidRPr="00446397">
        <w:rPr>
          <w:rFonts w:ascii="Times New Roman" w:hAnsi="Times New Roman" w:cs="Times New Roman"/>
          <w:color w:val="202122"/>
          <w:shd w:val="clear" w:color="auto" w:fill="FFFFFF"/>
          <w:lang w:val="ru-RU"/>
        </w:rPr>
        <w:t xml:space="preserve">— агрогородок </w:t>
      </w:r>
      <w:r>
        <w:rPr>
          <w:rFonts w:ascii="Times New Roman" w:hAnsi="Times New Roman" w:cs="Times New Roman"/>
          <w:color w:val="202122"/>
          <w:shd w:val="clear" w:color="auto" w:fill="FFFFFF"/>
          <w:lang w:val="ru-RU"/>
        </w:rPr>
        <w:t>в Слуцк</w:t>
      </w:r>
      <w:r w:rsidR="00446397" w:rsidRPr="00446397">
        <w:rPr>
          <w:rFonts w:ascii="Times New Roman" w:hAnsi="Times New Roman" w:cs="Times New Roman"/>
          <w:color w:val="202122"/>
          <w:shd w:val="clear" w:color="auto" w:fill="FFFFFF"/>
          <w:lang w:val="ru-RU"/>
        </w:rPr>
        <w:t>ом районе Минской области</w:t>
      </w:r>
      <w:r>
        <w:rPr>
          <w:rFonts w:ascii="Times New Roman" w:hAnsi="Times New Roman" w:cs="Times New Roman"/>
          <w:color w:val="202122"/>
          <w:shd w:val="clear" w:color="auto" w:fill="FFFFFF"/>
          <w:lang w:val="ru-RU"/>
        </w:rPr>
        <w:t xml:space="preserve">, административно относящийся к </w:t>
      </w:r>
      <w:proofErr w:type="spellStart"/>
      <w:r>
        <w:rPr>
          <w:rFonts w:ascii="Times New Roman" w:hAnsi="Times New Roman" w:cs="Times New Roman"/>
          <w:color w:val="202122"/>
          <w:shd w:val="clear" w:color="auto" w:fill="FFFFFF"/>
          <w:lang w:val="ru-RU"/>
        </w:rPr>
        <w:t>Серяжскому</w:t>
      </w:r>
      <w:proofErr w:type="spellEnd"/>
      <w:r>
        <w:rPr>
          <w:rFonts w:ascii="Times New Roman" w:hAnsi="Times New Roman" w:cs="Times New Roman"/>
          <w:color w:val="202122"/>
          <w:shd w:val="clear" w:color="auto" w:fill="FFFFFF"/>
          <w:lang w:val="ru-RU"/>
        </w:rPr>
        <w:t xml:space="preserve"> сельсовету</w:t>
      </w:r>
      <w:r w:rsidR="00446397">
        <w:rPr>
          <w:rFonts w:ascii="Times New Roman" w:hAnsi="Times New Roman" w:cs="Times New Roman"/>
          <w:color w:val="202122"/>
          <w:shd w:val="clear" w:color="auto" w:fill="FFFFFF"/>
          <w:lang w:val="ru-RU"/>
        </w:rPr>
        <w:t>.</w:t>
      </w:r>
    </w:p>
    <w:p w:rsidR="00E874F7" w:rsidRDefault="00E874F7" w:rsidP="002D5373">
      <w:pPr>
        <w:spacing w:after="0"/>
        <w:ind w:firstLine="426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9F070B" w:rsidRDefault="002D5373" w:rsidP="00E874F7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  <w:r w:rsidRPr="009F070B">
        <w:rPr>
          <w:rFonts w:ascii="Times New Roman" w:hAnsi="Times New Roman" w:cs="Times New Roman"/>
          <w:b/>
          <w:lang w:val="ru-RU"/>
        </w:rPr>
        <w:t>ИСТОРИЯ</w:t>
      </w:r>
    </w:p>
    <w:p w:rsidR="005758CE" w:rsidRPr="005758CE" w:rsidRDefault="00E874F7" w:rsidP="005758CE">
      <w:pPr>
        <w:pStyle w:val="ad"/>
        <w:shd w:val="clear" w:color="auto" w:fill="FFFFFF"/>
        <w:spacing w:before="0" w:beforeAutospacing="0" w:after="0" w:afterAutospacing="0"/>
        <w:jc w:val="both"/>
      </w:pPr>
      <w:r>
        <w:rPr>
          <w:color w:val="202122"/>
        </w:rPr>
        <w:tab/>
      </w:r>
      <w:r w:rsidR="005758CE" w:rsidRPr="005758CE">
        <w:rPr>
          <w:color w:val="202122"/>
        </w:rPr>
        <w:t xml:space="preserve">В официальных исторических документах деревня Лучники впервые упоминается в «Инвентаре города и княжества Слуцкого и </w:t>
      </w:r>
      <w:proofErr w:type="spellStart"/>
      <w:r w:rsidR="005758CE" w:rsidRPr="005758CE">
        <w:rPr>
          <w:color w:val="202122"/>
        </w:rPr>
        <w:t>Копыльского</w:t>
      </w:r>
      <w:proofErr w:type="spellEnd"/>
      <w:r w:rsidR="005758CE" w:rsidRPr="005758CE">
        <w:rPr>
          <w:color w:val="202122"/>
        </w:rPr>
        <w:t xml:space="preserve"> в году 1566 написанном». </w:t>
      </w:r>
      <w:r w:rsidR="005758CE" w:rsidRPr="005758CE">
        <w:t xml:space="preserve">Первоначально село называлось </w:t>
      </w:r>
      <w:proofErr w:type="spellStart"/>
      <w:r w:rsidR="005758CE" w:rsidRPr="005758CE">
        <w:t>Лучниковичи</w:t>
      </w:r>
      <w:proofErr w:type="spellEnd"/>
      <w:r w:rsidR="005758CE" w:rsidRPr="005758CE">
        <w:t>, но со временем название сократилось до Лучников.</w:t>
      </w:r>
    </w:p>
    <w:p w:rsidR="005758CE" w:rsidRPr="005758CE" w:rsidRDefault="00E874F7" w:rsidP="005758CE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758CE" w:rsidRPr="005758CE">
        <w:t xml:space="preserve">В Инвентаре (описании) </w:t>
      </w:r>
      <w:proofErr w:type="spellStart"/>
      <w:r w:rsidR="005758CE" w:rsidRPr="005758CE">
        <w:t>Иваньского</w:t>
      </w:r>
      <w:proofErr w:type="spellEnd"/>
      <w:r w:rsidR="005758CE" w:rsidRPr="005758CE">
        <w:t xml:space="preserve"> двора 1693 года Лучники уже называются деревней. В этот период все жители Лучников являются людьми военно-служилыми и несут «</w:t>
      </w:r>
      <w:proofErr w:type="spellStart"/>
      <w:r w:rsidR="005758CE" w:rsidRPr="005758CE">
        <w:t>выбранецкую</w:t>
      </w:r>
      <w:proofErr w:type="spellEnd"/>
      <w:r w:rsidR="005758CE" w:rsidRPr="005758CE">
        <w:t xml:space="preserve"> службу» с оружием</w:t>
      </w:r>
      <w:r>
        <w:t xml:space="preserve"> – </w:t>
      </w:r>
      <w:r w:rsidR="005758CE" w:rsidRPr="005758CE">
        <w:t>мушкетами и саблями.</w:t>
      </w:r>
      <w:r w:rsidR="004A76C9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351155</wp:posOffset>
            </wp:positionV>
            <wp:extent cx="3143250" cy="2352675"/>
            <wp:effectExtent l="0" t="0" r="0" b="9525"/>
            <wp:wrapSquare wrapText="bothSides"/>
            <wp:docPr id="5" name="Рисунок 5" descr="https://upload.wikimedia.org/wikipedia/commons/thumb/9/97/%D0%94%D0%9A_%D0%9B%D1%83%D1%87%D0%BD%D0%B8%D0%BA%D0%B8_-_panoramio.jpg/330px-%D0%94%D0%9A_%D0%9B%D1%83%D1%87%D0%BD%D0%B8%D0%BA%D0%B8_-_panoram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7/%D0%94%D0%9A_%D0%9B%D1%83%D1%87%D0%BD%D0%B8%D0%BA%D0%B8_-_panoramio.jpg/330px-%D0%94%D0%9A_%D0%9B%D1%83%D1%87%D0%BD%D0%B8%D0%BA%D0%B8_-_panorami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8CE" w:rsidRPr="005758CE" w:rsidRDefault="00E874F7" w:rsidP="005758CE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758CE" w:rsidRPr="005758CE">
        <w:t xml:space="preserve">Школа в Лучниках берёт начало с 1868 года. Изначально это было </w:t>
      </w:r>
      <w:proofErr w:type="spellStart"/>
      <w:r w:rsidR="005758CE" w:rsidRPr="005758CE">
        <w:t>Лучниковское</w:t>
      </w:r>
      <w:proofErr w:type="spellEnd"/>
      <w:r w:rsidR="005758CE" w:rsidRPr="005758CE">
        <w:t xml:space="preserve"> штатное училище, в начале XX в.</w:t>
      </w:r>
      <w:r>
        <w:t xml:space="preserve"> – </w:t>
      </w:r>
      <w:r w:rsidR="005758CE" w:rsidRPr="005758CE">
        <w:t>народное училище, потом</w:t>
      </w:r>
      <w:r>
        <w:t xml:space="preserve"> – </w:t>
      </w:r>
      <w:r w:rsidR="005758CE" w:rsidRPr="005758CE">
        <w:t>семилетняя трудовая школа, восьмилетняя и в 2000 году</w:t>
      </w:r>
      <w:r>
        <w:t xml:space="preserve"> – </w:t>
      </w:r>
      <w:r w:rsidR="005758CE" w:rsidRPr="005758CE">
        <w:t>средняя.</w:t>
      </w:r>
    </w:p>
    <w:p w:rsidR="005758CE" w:rsidRPr="005758CE" w:rsidRDefault="00E874F7" w:rsidP="005758CE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758CE" w:rsidRPr="005758CE">
        <w:t>В начале XX в. деревня состояла из 241 двора и 1426 жителей. На 1 января 1998 года</w:t>
      </w:r>
      <w:r>
        <w:t xml:space="preserve"> – </w:t>
      </w:r>
      <w:r w:rsidR="005758CE" w:rsidRPr="005758CE">
        <w:t>659 дворов и 1705 жителе</w:t>
      </w:r>
      <w:r w:rsidR="005758CE">
        <w:t>й</w:t>
      </w:r>
      <w:r w:rsidR="005758CE" w:rsidRPr="005758CE">
        <w:t>.</w:t>
      </w:r>
    </w:p>
    <w:p w:rsidR="005758CE" w:rsidRPr="005758CE" w:rsidRDefault="00E874F7" w:rsidP="005758CE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758CE" w:rsidRPr="005758CE">
        <w:t>В Лучниках установлен памятник 200 землякам, которые погибли во время Великой Отечественной войны,</w:t>
      </w:r>
    </w:p>
    <w:p w:rsidR="00E874F7" w:rsidRDefault="00E874F7" w:rsidP="00E874F7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095C62" w:rsidRDefault="002D5373" w:rsidP="00E874F7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  <w:r w:rsidRPr="00095C62">
        <w:rPr>
          <w:rFonts w:ascii="Times New Roman" w:hAnsi="Times New Roman" w:cs="Times New Roman"/>
          <w:b/>
          <w:lang w:val="ru-RU"/>
        </w:rPr>
        <w:t>ИНФРАСТРУКТУРА</w:t>
      </w:r>
    </w:p>
    <w:p w:rsidR="00975216" w:rsidRPr="00975216" w:rsidRDefault="00E874F7" w:rsidP="00975216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ab/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На территории населённого пункта имеются: ОАО «Агрофирма «Лучники», ГУК «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Лучниковский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цент культуры», ГУ «Слуцкая районная центральная библиотека» 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(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филиал №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7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)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, 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Лучниковская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врачебная амбулатория</w:t>
      </w:r>
      <w:r w:rsidRPr="00E874F7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r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УЗ «Слуцкая ЦРБ»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, ГУО «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Лучниковская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средняя школа», ГУО «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Дет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ский сад 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аг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. Лучники»,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ГУО «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Лучниковская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детская школа искусств», Храм Святителя Николая Чудотворца, отделение РУП «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Белпочта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».</w:t>
      </w:r>
    </w:p>
    <w:p w:rsidR="002D5373" w:rsidRDefault="002D5373" w:rsidP="00975216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E874F7" w:rsidRDefault="00E874F7" w:rsidP="00975216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E874F7" w:rsidRDefault="00E874F7" w:rsidP="00975216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2D5373" w:rsidRPr="004D25CF" w:rsidRDefault="002D5373" w:rsidP="00E874F7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D25CF">
        <w:rPr>
          <w:rFonts w:ascii="Times New Roman" w:hAnsi="Times New Roman" w:cs="Times New Roman"/>
          <w:b/>
          <w:lang w:val="ru-RU"/>
        </w:rPr>
        <w:lastRenderedPageBreak/>
        <w:t>МЕДИКО-ДЕМОГРАФИЧЕСКИЙ СТАТУС</w:t>
      </w:r>
    </w:p>
    <w:p w:rsidR="008233A0" w:rsidRPr="008233A0" w:rsidRDefault="002D5373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D25CF">
        <w:rPr>
          <w:rFonts w:ascii="Times New Roman" w:hAnsi="Times New Roman" w:cs="Times New Roman"/>
          <w:b/>
          <w:lang w:val="ru-RU"/>
        </w:rPr>
        <w:tab/>
      </w:r>
      <w:r w:rsidR="008233A0" w:rsidRPr="008233A0">
        <w:rPr>
          <w:rFonts w:ascii="Times New Roman" w:hAnsi="Times New Roman" w:cs="Times New Roman"/>
          <w:lang w:val="ru-RU"/>
        </w:rPr>
        <w:t xml:space="preserve">Численность населения </w:t>
      </w:r>
      <w:proofErr w:type="spellStart"/>
      <w:r w:rsidR="008233A0" w:rsidRPr="008233A0">
        <w:rPr>
          <w:rFonts w:ascii="Times New Roman" w:hAnsi="Times New Roman" w:cs="Times New Roman"/>
          <w:lang w:val="ru-RU"/>
        </w:rPr>
        <w:t>аг.</w:t>
      </w:r>
      <w:r w:rsidR="008233A0">
        <w:rPr>
          <w:rFonts w:ascii="Times New Roman" w:hAnsi="Times New Roman" w:cs="Times New Roman"/>
          <w:lang w:val="ru-RU"/>
        </w:rPr>
        <w:t>Лучники</w:t>
      </w:r>
      <w:proofErr w:type="spellEnd"/>
      <w:r w:rsidR="008233A0" w:rsidRPr="008233A0">
        <w:rPr>
          <w:rFonts w:ascii="Times New Roman" w:hAnsi="Times New Roman" w:cs="Times New Roman"/>
          <w:lang w:val="ru-RU"/>
        </w:rPr>
        <w:t xml:space="preserve"> на 01.01.2025 составила </w:t>
      </w:r>
      <w:r w:rsidR="008233A0">
        <w:rPr>
          <w:rFonts w:ascii="Times New Roman" w:hAnsi="Times New Roman" w:cs="Times New Roman"/>
          <w:lang w:val="ru-RU"/>
        </w:rPr>
        <w:t>142</w:t>
      </w:r>
      <w:r w:rsidR="008233A0" w:rsidRPr="008233A0">
        <w:rPr>
          <w:rFonts w:ascii="Times New Roman" w:hAnsi="Times New Roman" w:cs="Times New Roman"/>
          <w:lang w:val="ru-RU"/>
        </w:rPr>
        <w:t>5 человек.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Население Слуцкого района на 01.01.2025 – 84548 человек (2023 – 85885, 2022 – 86636, 2021 – 87628, 2020 – 88694). Отмечается динамика среднегодовой численности населения за 5 лет к убыли.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 xml:space="preserve">Городское население (жители </w:t>
      </w:r>
      <w:proofErr w:type="spellStart"/>
      <w:r w:rsidRPr="008233A0">
        <w:rPr>
          <w:rFonts w:ascii="Times New Roman" w:hAnsi="Times New Roman" w:cs="Times New Roman"/>
          <w:lang w:val="ru-RU"/>
        </w:rPr>
        <w:t>г.Слуцка</w:t>
      </w:r>
      <w:proofErr w:type="spellEnd"/>
      <w:r w:rsidRPr="008233A0">
        <w:rPr>
          <w:rFonts w:ascii="Times New Roman" w:hAnsi="Times New Roman" w:cs="Times New Roman"/>
          <w:lang w:val="ru-RU"/>
        </w:rPr>
        <w:t>) составляет большую часть проживающих на территории Слуцкого района – 71 % (59450 человек).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 xml:space="preserve">Коэффициент младенческой смертности – число случаев смерти детей в возрасте до одного года на 1000 родившихся живыми – в Слуцком районе в 2024 году составил </w:t>
      </w:r>
      <w:bookmarkStart w:id="0" w:name="_Hlk100647449"/>
      <w:bookmarkStart w:id="1" w:name="_Hlk135296397"/>
      <w:r w:rsidRPr="008233A0">
        <w:rPr>
          <w:rFonts w:ascii="Times New Roman" w:hAnsi="Times New Roman" w:cs="Times New Roman"/>
          <w:lang w:val="ru-RU"/>
        </w:rPr>
        <w:t xml:space="preserve">0 </w:t>
      </w:r>
      <w:bookmarkStart w:id="2" w:name="_Hlk112828690"/>
      <w:r w:rsidRPr="008233A0">
        <w:rPr>
          <w:rFonts w:ascii="Times New Roman" w:hAnsi="Times New Roman" w:cs="Times New Roman"/>
          <w:lang w:val="ru-RU"/>
        </w:rPr>
        <w:t>‰</w:t>
      </w:r>
      <w:bookmarkEnd w:id="0"/>
      <w:bookmarkEnd w:id="2"/>
      <w:r w:rsidRPr="008233A0">
        <w:rPr>
          <w:rFonts w:ascii="Times New Roman" w:hAnsi="Times New Roman" w:cs="Times New Roman"/>
          <w:lang w:val="ru-RU"/>
        </w:rPr>
        <w:t>,</w:t>
      </w:r>
      <w:bookmarkEnd w:id="1"/>
      <w:r w:rsidRPr="008233A0">
        <w:rPr>
          <w:rFonts w:ascii="Times New Roman" w:hAnsi="Times New Roman" w:cs="Times New Roman"/>
          <w:lang w:val="ru-RU"/>
        </w:rPr>
        <w:t xml:space="preserve"> как и в 2023, 2022 и 2021 годах, в 2020 – 1,24‰. Коэффициент рождаемости в 2024 году составил 6,5 ‰ (2023 – 7,6 </w:t>
      </w:r>
      <w:bookmarkStart w:id="3" w:name="_Hlk203566615"/>
      <w:r w:rsidRPr="008233A0">
        <w:rPr>
          <w:rFonts w:ascii="Times New Roman" w:hAnsi="Times New Roman" w:cs="Times New Roman"/>
          <w:lang w:val="ru-RU"/>
        </w:rPr>
        <w:t>‰</w:t>
      </w:r>
      <w:bookmarkEnd w:id="3"/>
      <w:r w:rsidRPr="008233A0">
        <w:rPr>
          <w:rFonts w:ascii="Times New Roman" w:hAnsi="Times New Roman" w:cs="Times New Roman"/>
          <w:lang w:val="ru-RU"/>
        </w:rPr>
        <w:t xml:space="preserve">, 2022 – 9,35 </w:t>
      </w:r>
      <w:bookmarkStart w:id="4" w:name="_Hlk112830503"/>
      <w:r w:rsidRPr="008233A0">
        <w:rPr>
          <w:rFonts w:ascii="Times New Roman" w:hAnsi="Times New Roman" w:cs="Times New Roman"/>
          <w:lang w:val="ru-RU"/>
        </w:rPr>
        <w:t>‰</w:t>
      </w:r>
      <w:bookmarkEnd w:id="4"/>
      <w:r w:rsidRPr="008233A0">
        <w:rPr>
          <w:rFonts w:ascii="Times New Roman" w:hAnsi="Times New Roman" w:cs="Times New Roman"/>
          <w:lang w:val="ru-RU"/>
        </w:rPr>
        <w:t>, 2021 – 9,4 ‰, 2020 – 9,1 ‰). Коэффициент</w:t>
      </w:r>
      <w:r w:rsidRPr="008233A0">
        <w:rPr>
          <w:rFonts w:ascii="Times New Roman" w:hAnsi="Times New Roman" w:cs="Times New Roman"/>
          <w:b/>
          <w:lang w:val="ru-RU"/>
        </w:rPr>
        <w:t xml:space="preserve"> </w:t>
      </w:r>
      <w:r w:rsidRPr="008233A0">
        <w:rPr>
          <w:rFonts w:ascii="Times New Roman" w:hAnsi="Times New Roman" w:cs="Times New Roman"/>
          <w:lang w:val="ru-RU"/>
        </w:rPr>
        <w:t xml:space="preserve">смертности в 2024 году – 14,4 ‰ (2023 – 14,23 </w:t>
      </w:r>
      <w:bookmarkStart w:id="5" w:name="_Hlk166670077"/>
      <w:r w:rsidRPr="008233A0">
        <w:rPr>
          <w:rFonts w:ascii="Times New Roman" w:hAnsi="Times New Roman" w:cs="Times New Roman"/>
          <w:lang w:val="ru-RU"/>
        </w:rPr>
        <w:t>‰</w:t>
      </w:r>
      <w:bookmarkEnd w:id="5"/>
      <w:r w:rsidRPr="008233A0">
        <w:rPr>
          <w:rFonts w:ascii="Times New Roman" w:hAnsi="Times New Roman" w:cs="Times New Roman"/>
          <w:lang w:val="ru-RU"/>
        </w:rPr>
        <w:t xml:space="preserve">, 2022 – 15,96 ‰, 2021 – 20,89 </w:t>
      </w:r>
      <w:bookmarkStart w:id="6" w:name="_Hlk135301702"/>
      <w:r w:rsidRPr="008233A0">
        <w:rPr>
          <w:rFonts w:ascii="Times New Roman" w:hAnsi="Times New Roman" w:cs="Times New Roman"/>
          <w:lang w:val="ru-RU"/>
        </w:rPr>
        <w:t>‰</w:t>
      </w:r>
      <w:bookmarkEnd w:id="6"/>
      <w:r w:rsidRPr="008233A0">
        <w:rPr>
          <w:rFonts w:ascii="Times New Roman" w:hAnsi="Times New Roman" w:cs="Times New Roman"/>
          <w:lang w:val="ru-RU"/>
        </w:rPr>
        <w:t xml:space="preserve">, 2020 – 17,82). Коэффициент смертности людей трудоспособного возраста в 2024 году – 5,9 ‰ (2023 – 5,52 ‰, 2022 – 6,49 </w:t>
      </w:r>
      <w:bookmarkStart w:id="7" w:name="_Hlk166670189"/>
      <w:r w:rsidRPr="008233A0">
        <w:rPr>
          <w:rFonts w:ascii="Times New Roman" w:hAnsi="Times New Roman" w:cs="Times New Roman"/>
          <w:lang w:val="ru-RU"/>
        </w:rPr>
        <w:t>‰</w:t>
      </w:r>
      <w:bookmarkEnd w:id="7"/>
      <w:r w:rsidRPr="008233A0">
        <w:rPr>
          <w:rFonts w:ascii="Times New Roman" w:hAnsi="Times New Roman" w:cs="Times New Roman"/>
          <w:lang w:val="ru-RU"/>
        </w:rPr>
        <w:t>, 2021 – 6,31 ‰, 2020 – 5,9 ‰). Первичная инвалидность в 2024 году – 45,82 на 10000 населения.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 2024 году зарегистрировано 409 браков, коэффициент брачности составил 4,8 на 1000 населения (2023 – 6,7, 2022 – 5,8, 2021 – 7,8, 2020 – 6,1).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Данные по разводам в Слуцком районе (информация ЗАГС, без учета данных из суда): 2024 – 86, 2023 – 90, 2022 – 65, 2021 – 85, 2020 – 83. В совокупности, по данным ЗАГС и суда, в 2024 году зарегистрировано 357 расторжений браков, коэффициент разводимости составил 4,2 на 1000 населения.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 2024 году число абортов на 1000 женщин фертильного возраста – 2,9 (2023 – 2,2, 2022 – 1,99, 2021 – 2,33). Показатель частоты абортов на 100 родов в 2024 году составил 8,6 (2023 – 5,8, 2022 – 5,3, 2021 – 5,5, 2020 – 5,9).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 xml:space="preserve">Важный медико-демографический показатель – число многодетных семей. На конец 2024 года в </w:t>
      </w:r>
      <w:proofErr w:type="spellStart"/>
      <w:r w:rsidRPr="008233A0">
        <w:rPr>
          <w:rFonts w:ascii="Times New Roman" w:hAnsi="Times New Roman" w:cs="Times New Roman"/>
          <w:lang w:val="ru-RU"/>
        </w:rPr>
        <w:t>г.Слуцке</w:t>
      </w:r>
      <w:proofErr w:type="spellEnd"/>
      <w:r w:rsidRPr="008233A0">
        <w:rPr>
          <w:rFonts w:ascii="Times New Roman" w:hAnsi="Times New Roman" w:cs="Times New Roman"/>
          <w:lang w:val="ru-RU"/>
        </w:rPr>
        <w:t xml:space="preserve"> и Слуцком районе насчитывается 1267 многодетных семей, воспитывающих 4166 детей (2023 – 1279 семей, 2022 – 1254, 2021 – 1163, 2020 – 1090.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Таким образом устойчивость территории Слуцкого района характеризуется положительной тенденцией следующих медико-демографических показателей: снижение младенческой смертности, стабилизация коэффициентов смертности и смертности людей трудоспособного возраста.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При этом сохраняются многолетняя отрицательная тенденция таких медико-демографических показателей, как рождаемость, расторжение браков, связанные с естественными процессами, протекающими в обществе, которые осложняют процессы устойчивого развития региона.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>По данным обращаемости за медицинской помощью в 2024 году в Слуцком районе показатель общей заболеваемости всего населения по сравнению с предыдущим годом снизился на 10 % и составил 1414,5 на 1000 населения (2023 – 1571,4, 2022 – 1613,9, 2021 – 1570,3, 2020 году – 1410,4).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Показатель первичной заболеваемости всего населения Слуцкого района в 2024 году составил 724,5 на 1000 населения, что ниже на 17,5 %, чем в прошлом году (2023 – 877,8, 2022 – 909,9, 2021 – 883,5, 2020 – 711,9).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За период 2020-2024 годов среди всего населения Слуцкого района стабилизация (среднегодовой темп прироста от 0 до ±1,0 %) первичной заболеваемости отмечается по классам: болезни системы кровообращения (+0,52%), болезни кожи и подкожной клетчатки (+0,37 %), болезни костно-мышечной системы и соединительной ткани (-0,02 %), болезни органов пищеварения (-0,24 %), болезни эндокринной системы (-0,60 %).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Умеренная тенденция к повышению (среднегодовой темп прироста от +1,1 до +5,0 %) первичной заболеваемости отмечается по классам: врожденные аномалии (+3,98 %), болезни органов дыхания (+3,4 %).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 xml:space="preserve">Умеренная тенденция к снижению (среднегодовой темп прироста от -1,1 до -5,0 %) первичной заболеваемости отмечается по классам: новообразования (-1,1%), травмы, отравления и некоторые другие последствия воздействия внешних причин (-4,15 %), беременность, роды и послеродовой период (-2,39 %), болезни нервной системы (-1,35 %), болезни мочеполовой </w:t>
      </w:r>
      <w:r w:rsidRPr="008233A0">
        <w:rPr>
          <w:rFonts w:ascii="Times New Roman" w:hAnsi="Times New Roman" w:cs="Times New Roman"/>
          <w:lang w:val="ru-RU"/>
        </w:rPr>
        <w:lastRenderedPageBreak/>
        <w:t>системы (-2,72 %), болезни крови и кроветворных органов (-4,74 %), болезни уха и сосцевидного отростка (-3,08 %), симптомы, признаки и отклонения от нормы (-3,72 %).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Выраженная тенденция к повышению (среднегодовой темп прироста более +5,0 %) отмечается: некоторые инфекционные и паразитарные болезни (более 5%).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Выраженная тенденция к снижению (среднегодовой темп прироста более -5,0 %) отмечается по классам: психические расстройства и расстройства поведения (-5,02 %), болезни глаза и его придаточного аппарата (-6,88 %), отдельные состояния, возникающие в перинатальном периоде (-7,53 %),</w:t>
      </w:r>
      <w:bookmarkStart w:id="8" w:name="_Hlk167113616"/>
      <w:r w:rsidRPr="008233A0">
        <w:rPr>
          <w:rFonts w:ascii="Times New Roman" w:hAnsi="Times New Roman" w:cs="Times New Roman"/>
          <w:lang w:val="ru-RU"/>
        </w:rPr>
        <w:t xml:space="preserve"> </w:t>
      </w:r>
      <w:bookmarkEnd w:id="8"/>
      <w:r w:rsidRPr="008233A0">
        <w:rPr>
          <w:rFonts w:ascii="Times New Roman" w:hAnsi="Times New Roman" w:cs="Times New Roman"/>
          <w:lang w:val="ru-RU"/>
        </w:rPr>
        <w:t>симптомы, признаки и отклонения от нормы (-6,35 %).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 2024 году в Слуцком районе показатель общей заболеваемости взрослого населения по сравнению с предыдущим годом снизился на 18,82 % и составил 1287,5 на 1000 населения (2023 – 1586,0, 2022 – 1619,4, 2021 – 1585,6).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 структуре общей заболеваемости взрослого</w:t>
      </w:r>
      <w:r w:rsidRPr="008233A0">
        <w:rPr>
          <w:rFonts w:ascii="Times New Roman" w:hAnsi="Times New Roman" w:cs="Times New Roman"/>
          <w:b/>
          <w:lang w:val="ru-RU"/>
        </w:rPr>
        <w:t xml:space="preserve"> </w:t>
      </w:r>
      <w:r w:rsidRPr="008233A0">
        <w:rPr>
          <w:rFonts w:ascii="Times New Roman" w:hAnsi="Times New Roman" w:cs="Times New Roman"/>
          <w:lang w:val="ru-RU"/>
        </w:rPr>
        <w:t>населения Слуцкого района в 2024 году преобладают болезни системы кровообращения (30,6 %), болезни органов дыхания (19,1 %), новообразования (6,5 %), болезни эндокринной системы, расстройства питания и нарушения обмена веществ (6,0 %), болезни кожи и подкожной клетчатки (5,3 %), психические расстройства и расстройства поведения (4,8 %).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Показатель первичной заболеваемости взрослого населения Слуцкого района в 2024 году составил 487,3 на 1000 населения, что ниже на 37,2 %, чем в прошлом году (2023 – 776,0, 2022 – 796,4, 2021 – 782,9).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 структуре первичной заболеваемости взрослого населения преобладают заболевания органов дыхания (43,8 %), болезни кожи и подкожной клетчатки (12,9 %), болезни костно-мышечной системы и соединительной ткани (7,3 %), травмы и отравления (6,5 %), болезни системы кровообращения (6,3 %).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 2024 году в Слуцком районе показатель общей заболеваемости детского населения по сравнению с предыдущим годом увеличился на 33,8 % и составил 2020,9 на 1000 населения (2023 – 1510,1, 2022 – 1590,8, в 2021 году – 1505,9).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 структуре общей заболеваемости детского населения Слуцкого района в 2024 году преобладают болезни органов дыхания (80,1 %), болезни органов пищеварения (4,5 %), болезни кожи и подкожной клетчатки (3,0 %). болезни костно-мышечной системы и соединительной ткани (2,7 %), инфекционные и паразитарные болезни (2,0 %).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Показатель первичной заболеваемости детского населения Слуцкого района в 2024 году составил 1802,9 на 1000 населения, что выше на 38,4 %, чем в прошлом году (2023 – 1303,0, 2022 – 1386,4, в 2021 году – 1306,8).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233A0">
        <w:rPr>
          <w:rFonts w:ascii="Times New Roman" w:hAnsi="Times New Roman" w:cs="Times New Roman"/>
          <w:lang w:val="ru-RU"/>
        </w:rPr>
        <w:tab/>
        <w:t>В структуре первичной заболеваемости детского населения преобладают болезни органов дыхания (88,0 %), болезни кожи и подкожной клетчатки (2,9 %), болезни органов пищеварения (2,8 %), инфекционные и паразитарные болезни (2,2 %).</w:t>
      </w: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8233A0">
        <w:rPr>
          <w:rFonts w:ascii="Times New Roman" w:hAnsi="Times New Roman" w:cs="Times New Roman"/>
          <w:b/>
          <w:lang w:val="ru-RU"/>
        </w:rPr>
        <w:t>ВЫПОЛНЕНИЕ ПОКАЗАТЕЛЕЙ, ОБЕСПЕЧИВАЮЩИХ КОМПЛЕКСНОСТЬ ПОДВЕДЕНИЕ ИТОГОВ РАБОТЫ ПО РЕАЛИЗАЦИИ ПРОФИЛАКТИЧЕСКОГО ПРОЕКТА «ЗДОРОВЫЕ ГОРОДА И ПОСЕЛКИ» ЗА 2023-2025 г.</w:t>
      </w:r>
    </w:p>
    <w:tbl>
      <w:tblPr>
        <w:tblStyle w:val="-5"/>
        <w:tblW w:w="10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126"/>
        <w:gridCol w:w="2126"/>
        <w:gridCol w:w="2092"/>
      </w:tblGrid>
      <w:tr w:rsidR="008233A0" w:rsidRPr="008233A0" w:rsidTr="00823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№</w:t>
            </w:r>
            <w:r w:rsidRPr="008233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233A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33A0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6344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33A0">
              <w:rPr>
                <w:rFonts w:ascii="Times New Roman" w:hAnsi="Times New Roman" w:cs="Times New Roman"/>
              </w:rPr>
              <w:t>Сведения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выполнении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показателей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 xml:space="preserve">2023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 xml:space="preserve">2024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2025 год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доля граждан в возрасте 18-39 лет, которые тратят не менее 30 мин. в день на физическую активность,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22</w:t>
            </w:r>
            <w:r w:rsidRPr="008233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233A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22</w:t>
            </w:r>
            <w:r w:rsidRPr="008233A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22 %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доля курящего населения в возрасте 18 лет и старше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33,8%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27 %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33,8%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удельный вес численности учащихся, занимающихся в 1 смену к общему числу учащихся,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82,8%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85,2 %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87,5 %</w:t>
            </w:r>
          </w:p>
        </w:tc>
      </w:tr>
      <w:tr w:rsidR="008233A0" w:rsidRPr="00C000C8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4.*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Индекс массы тела (ИМТ) </w:t>
            </w:r>
            <w:r w:rsidRPr="008233A0">
              <w:rPr>
                <w:rFonts w:ascii="Times New Roman" w:hAnsi="Times New Roman" w:cs="Times New Roman"/>
                <w:lang w:val="ru-RU"/>
              </w:rPr>
              <w:lastRenderedPageBreak/>
              <w:t>населения в двух возрастных категориях, %: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33A0">
              <w:rPr>
                <w:rFonts w:ascii="Times New Roman" w:hAnsi="Times New Roman" w:cs="Times New Roman"/>
                <w:b/>
              </w:rPr>
              <w:t xml:space="preserve">- 18-39 </w:t>
            </w:r>
            <w:proofErr w:type="spellStart"/>
            <w:r w:rsidRPr="008233A0">
              <w:rPr>
                <w:rFonts w:ascii="Times New Roman" w:hAnsi="Times New Roman" w:cs="Times New Roman"/>
                <w:b/>
              </w:rPr>
              <w:t>лет</w:t>
            </w:r>
            <w:proofErr w:type="spellEnd"/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33A0">
              <w:rPr>
                <w:rFonts w:ascii="Times New Roman" w:hAnsi="Times New Roman" w:cs="Times New Roman"/>
                <w:b/>
              </w:rPr>
              <w:t xml:space="preserve">8124 </w:t>
            </w:r>
            <w:proofErr w:type="spellStart"/>
            <w:r w:rsidRPr="008233A0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33A0">
              <w:rPr>
                <w:rFonts w:ascii="Times New Roman" w:hAnsi="Times New Roman" w:cs="Times New Roman"/>
                <w:b/>
              </w:rPr>
              <w:t xml:space="preserve">7399 </w:t>
            </w:r>
            <w:proofErr w:type="spellStart"/>
            <w:r w:rsidRPr="008233A0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8233A0">
              <w:rPr>
                <w:rFonts w:ascii="Times New Roman" w:hAnsi="Times New Roman" w:cs="Times New Roman"/>
                <w:b/>
                <w:lang w:val="ru-RU"/>
              </w:rPr>
              <w:t>7115 человек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33A0">
              <w:rPr>
                <w:rFonts w:ascii="Times New Roman" w:hAnsi="Times New Roman" w:cs="Times New Roman"/>
              </w:rPr>
              <w:t>недостаточный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вес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–ИМТ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меньше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18,5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4,5 %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3,9 %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3,7 %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нормальный вес –ИМТ меньше от 18,5 до 24,9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54,7 %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54,3 %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54,1 %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избыточный вес –ИМТ меньше от 25 до 29,9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37,8 %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39,1 %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39,4 %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страдает ожирением –ИМТ больше или равно 30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3,0 %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2,7 %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2,8 %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33A0">
              <w:rPr>
                <w:rFonts w:ascii="Times New Roman" w:hAnsi="Times New Roman" w:cs="Times New Roman"/>
                <w:b/>
              </w:rPr>
              <w:t xml:space="preserve">- 40 </w:t>
            </w:r>
            <w:proofErr w:type="spellStart"/>
            <w:r w:rsidRPr="008233A0">
              <w:rPr>
                <w:rFonts w:ascii="Times New Roman" w:hAnsi="Times New Roman" w:cs="Times New Roman"/>
                <w:b/>
              </w:rPr>
              <w:t>лет</w:t>
            </w:r>
            <w:proofErr w:type="spellEnd"/>
            <w:r w:rsidRPr="008233A0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8233A0">
              <w:rPr>
                <w:rFonts w:ascii="Times New Roman" w:hAnsi="Times New Roman" w:cs="Times New Roman"/>
                <w:b/>
              </w:rPr>
              <w:t>старше</w:t>
            </w:r>
            <w:proofErr w:type="spellEnd"/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33A0">
              <w:rPr>
                <w:rFonts w:ascii="Times New Roman" w:hAnsi="Times New Roman" w:cs="Times New Roman"/>
                <w:b/>
              </w:rPr>
              <w:t xml:space="preserve">45 596 </w:t>
            </w:r>
            <w:proofErr w:type="spellStart"/>
            <w:r w:rsidRPr="008233A0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33A0">
              <w:rPr>
                <w:rFonts w:ascii="Times New Roman" w:hAnsi="Times New Roman" w:cs="Times New Roman"/>
                <w:b/>
              </w:rPr>
              <w:t xml:space="preserve">42 647 </w:t>
            </w:r>
            <w:proofErr w:type="spellStart"/>
            <w:r w:rsidRPr="008233A0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8233A0">
              <w:rPr>
                <w:rFonts w:ascii="Times New Roman" w:hAnsi="Times New Roman" w:cs="Times New Roman"/>
                <w:b/>
                <w:lang w:val="ru-RU"/>
              </w:rPr>
              <w:t>41017 человек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33A0">
              <w:rPr>
                <w:rFonts w:ascii="Times New Roman" w:hAnsi="Times New Roman" w:cs="Times New Roman"/>
              </w:rPr>
              <w:t>недостаточный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вес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–ИМТ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меньше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18,5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0,4 %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0,5 %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0,3 %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нормальный вес –ИМТ меньше от 18,5 до 24,9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20 %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21,5 %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21,8 %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избыточный вес –ИМТ меньше от 25 до 29,9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33,2 %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31,3 %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31,0 %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страдает ожирением –ИМТ больше или равно 30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46,4 %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46,7 %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46,9 %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снижение численности работников, занятых на рабочих местах с вредными и (или) опасными условиями труда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 xml:space="preserve">1906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человек</w:t>
            </w:r>
            <w:proofErr w:type="spellEnd"/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 xml:space="preserve">1634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человек</w:t>
            </w:r>
            <w:proofErr w:type="spellEnd"/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1899 человек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коэффициент частоты производственного травматизма на 100 тыс. работающих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102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уровень озелененности городов, районных центров,%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42,3%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42,3 %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42,3 %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обеспеченность населения централизованными системами водоснабжения,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91,4%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92,5 %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92,5 %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обеспеченность населения централизованными системами водоотведения,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69,7%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71,5 %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71,5 %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% охвата диспансеризацией населения в возрасте: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233A0">
              <w:rPr>
                <w:rFonts w:ascii="Times New Roman" w:hAnsi="Times New Roman" w:cs="Times New Roman"/>
              </w:rPr>
              <w:t xml:space="preserve">0-17, 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18-39,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 xml:space="preserve"> 40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лет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старше</w:t>
            </w:r>
            <w:proofErr w:type="spellEnd"/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- 99,8%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-100%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-97,7%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-100 %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-95,6 %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-91,2 %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- 100%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- 97%</w:t>
            </w:r>
          </w:p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- 97%</w:t>
            </w:r>
          </w:p>
        </w:tc>
      </w:tr>
      <w:tr w:rsidR="008233A0" w:rsidRPr="008233A0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доля детей 1 и 2 групп здоровья в общей численности учащихся в учреждениях образования, %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В 2023 году группы здоровья не определялись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87,9 %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86,9 %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коэффициент частоты травматизма на 100 тыс. застрахованных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122,8</w:t>
            </w:r>
          </w:p>
        </w:tc>
      </w:tr>
      <w:tr w:rsidR="008233A0" w:rsidRPr="00C000C8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количество мероприятий в рамках реализации Проекта, проведенных на </w:t>
            </w:r>
            <w:r w:rsidRPr="008233A0">
              <w:rPr>
                <w:rFonts w:ascii="Times New Roman" w:hAnsi="Times New Roman" w:cs="Times New Roman"/>
                <w:lang w:val="ru-RU"/>
              </w:rPr>
              <w:lastRenderedPageBreak/>
              <w:t>территориальном уровне с вовлечением гор(рай)исполкомов, поселковых и сельских советов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lastRenderedPageBreak/>
              <w:t>Всего – 142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С вовлечением райисполкома и </w:t>
            </w:r>
            <w:r w:rsidRPr="008233A0">
              <w:rPr>
                <w:rFonts w:ascii="Times New Roman" w:hAnsi="Times New Roman" w:cs="Times New Roman"/>
                <w:lang w:val="ru-RU"/>
              </w:rPr>
              <w:lastRenderedPageBreak/>
              <w:t>сельских советов - 12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lastRenderedPageBreak/>
              <w:t>Всего – 81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С вовлечением райисполкома и </w:t>
            </w:r>
            <w:r w:rsidRPr="008233A0">
              <w:rPr>
                <w:rFonts w:ascii="Times New Roman" w:hAnsi="Times New Roman" w:cs="Times New Roman"/>
                <w:lang w:val="ru-RU"/>
              </w:rPr>
              <w:lastRenderedPageBreak/>
              <w:t>сельских советов - 14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lastRenderedPageBreak/>
              <w:t xml:space="preserve">Всего – 81 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С вовлечением райисполкома и </w:t>
            </w:r>
            <w:r w:rsidRPr="008233A0">
              <w:rPr>
                <w:rFonts w:ascii="Times New Roman" w:hAnsi="Times New Roman" w:cs="Times New Roman"/>
                <w:lang w:val="ru-RU"/>
              </w:rPr>
              <w:lastRenderedPageBreak/>
              <w:t>сельских советов -15</w:t>
            </w:r>
          </w:p>
        </w:tc>
      </w:tr>
      <w:tr w:rsidR="008233A0" w:rsidRPr="008233A0" w:rsidTr="00823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число заседаний групп управления реализации Проекта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8233A0" w:rsidRPr="00C000C8" w:rsidTr="00823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rPr>
                <w:rFonts w:ascii="Times New Roman" w:hAnsi="Times New Roman" w:cs="Times New Roman"/>
              </w:rPr>
            </w:pPr>
            <w:r w:rsidRPr="008233A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количество материалов, размещенных в СМИ, на интернет-ресурсах, в социальных сетях на </w:t>
            </w:r>
            <w:proofErr w:type="spellStart"/>
            <w:r w:rsidRPr="008233A0">
              <w:rPr>
                <w:rFonts w:ascii="Times New Roman" w:hAnsi="Times New Roman" w:cs="Times New Roman"/>
                <w:lang w:val="ru-RU"/>
              </w:rPr>
              <w:t>видехостингах</w:t>
            </w:r>
            <w:proofErr w:type="spellEnd"/>
            <w:r w:rsidRPr="008233A0">
              <w:rPr>
                <w:rFonts w:ascii="Times New Roman" w:hAnsi="Times New Roman" w:cs="Times New Roman"/>
                <w:lang w:val="ru-RU"/>
              </w:rPr>
              <w:t xml:space="preserve"> и мессенджерах с хештегом Здоровые города и поселки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Всего размещено 467 материалов на сайтах.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Хештег начал применяться в 2024 году.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33A0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размещается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на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сайтах</w:t>
            </w:r>
            <w:proofErr w:type="spellEnd"/>
            <w:r w:rsidRPr="008233A0">
              <w:rPr>
                <w:rFonts w:ascii="Times New Roman" w:hAnsi="Times New Roman" w:cs="Times New Roman"/>
              </w:rPr>
              <w:t>:</w:t>
            </w:r>
          </w:p>
          <w:p w:rsidR="008233A0" w:rsidRPr="008233A0" w:rsidRDefault="008233A0" w:rsidP="008233A0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ГУ «Слуцкий зональный </w:t>
            </w:r>
            <w:proofErr w:type="spellStart"/>
            <w:r w:rsidRPr="008233A0">
              <w:rPr>
                <w:rFonts w:ascii="Times New Roman" w:hAnsi="Times New Roman" w:cs="Times New Roman"/>
                <w:lang w:val="ru-RU"/>
              </w:rPr>
              <w:t>ЦГиЭ</w:t>
            </w:r>
            <w:proofErr w:type="spellEnd"/>
            <w:r w:rsidRPr="008233A0">
              <w:rPr>
                <w:rFonts w:ascii="Times New Roman" w:hAnsi="Times New Roman" w:cs="Times New Roman"/>
                <w:lang w:val="ru-RU"/>
              </w:rPr>
              <w:t>» - https://slgigiena.by/;</w:t>
            </w:r>
          </w:p>
          <w:p w:rsidR="008233A0" w:rsidRPr="008233A0" w:rsidRDefault="008233A0" w:rsidP="008233A0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Слуцкого РИК - https://slutsk.gov.by/ru/; </w:t>
            </w:r>
          </w:p>
          <w:p w:rsidR="008233A0" w:rsidRPr="008233A0" w:rsidRDefault="008233A0" w:rsidP="008233A0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районной газеты «Слуцкий край» - </w:t>
            </w:r>
            <w:hyperlink r:id="rId10" w:history="1">
              <w:r w:rsidRPr="008233A0">
                <w:rPr>
                  <w:rStyle w:val="ac"/>
                  <w:rFonts w:ascii="Times New Roman" w:hAnsi="Times New Roman" w:cs="Times New Roman"/>
                  <w:lang w:val="ru-RU"/>
                </w:rPr>
                <w:t>https://s-k.by/</w:t>
              </w:r>
            </w:hyperlink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Всего размещено 496 материалов на сайтах.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С хештегом Здоровые города и поселки 150 материалов.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33A0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размещается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на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сайтах</w:t>
            </w:r>
            <w:proofErr w:type="spellEnd"/>
            <w:r w:rsidRPr="008233A0">
              <w:rPr>
                <w:rFonts w:ascii="Times New Roman" w:hAnsi="Times New Roman" w:cs="Times New Roman"/>
              </w:rPr>
              <w:t>:</w:t>
            </w:r>
          </w:p>
          <w:p w:rsidR="008233A0" w:rsidRPr="008233A0" w:rsidRDefault="008233A0" w:rsidP="008233A0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ГУ «Слуцкий зональный </w:t>
            </w:r>
            <w:proofErr w:type="spellStart"/>
            <w:r w:rsidRPr="008233A0">
              <w:rPr>
                <w:rFonts w:ascii="Times New Roman" w:hAnsi="Times New Roman" w:cs="Times New Roman"/>
                <w:lang w:val="ru-RU"/>
              </w:rPr>
              <w:t>ЦГиЭ</w:t>
            </w:r>
            <w:proofErr w:type="spellEnd"/>
            <w:r w:rsidRPr="008233A0">
              <w:rPr>
                <w:rFonts w:ascii="Times New Roman" w:hAnsi="Times New Roman" w:cs="Times New Roman"/>
                <w:lang w:val="ru-RU"/>
              </w:rPr>
              <w:t>» - https://slgigiena.by/;</w:t>
            </w:r>
          </w:p>
          <w:p w:rsidR="008233A0" w:rsidRPr="008233A0" w:rsidRDefault="008233A0" w:rsidP="008233A0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Слуцкого РИК - https://slutsk.gov.by/ru/; </w:t>
            </w:r>
          </w:p>
          <w:p w:rsidR="008233A0" w:rsidRPr="008233A0" w:rsidRDefault="008233A0" w:rsidP="008233A0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районной газеты «Слуцкий край» - </w:t>
            </w:r>
            <w:hyperlink r:id="rId11" w:history="1">
              <w:r w:rsidRPr="008233A0">
                <w:rPr>
                  <w:rStyle w:val="ac"/>
                  <w:rFonts w:ascii="Times New Roman" w:hAnsi="Times New Roman" w:cs="Times New Roman"/>
                  <w:lang w:val="ru-RU"/>
                </w:rPr>
                <w:t>https://s-k.by/</w:t>
              </w:r>
            </w:hyperlink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Всего размещено 530 материалов на сайтах.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С хештегом Здоровые города и поселки 313 материалов.</w:t>
            </w: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  <w:p w:rsidR="008233A0" w:rsidRPr="008233A0" w:rsidRDefault="008233A0" w:rsidP="008233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33A0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размещается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на</w:t>
            </w:r>
            <w:proofErr w:type="spellEnd"/>
            <w:r w:rsidRPr="00823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A0">
              <w:rPr>
                <w:rFonts w:ascii="Times New Roman" w:hAnsi="Times New Roman" w:cs="Times New Roman"/>
              </w:rPr>
              <w:t>сайтах</w:t>
            </w:r>
            <w:proofErr w:type="spellEnd"/>
            <w:r w:rsidRPr="008233A0">
              <w:rPr>
                <w:rFonts w:ascii="Times New Roman" w:hAnsi="Times New Roman" w:cs="Times New Roman"/>
              </w:rPr>
              <w:t>:</w:t>
            </w:r>
          </w:p>
          <w:p w:rsidR="008233A0" w:rsidRPr="008233A0" w:rsidRDefault="008233A0" w:rsidP="008233A0">
            <w:pPr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ГУ «Слуцкий зональный </w:t>
            </w:r>
            <w:proofErr w:type="spellStart"/>
            <w:r w:rsidRPr="008233A0">
              <w:rPr>
                <w:rFonts w:ascii="Times New Roman" w:hAnsi="Times New Roman" w:cs="Times New Roman"/>
                <w:lang w:val="ru-RU"/>
              </w:rPr>
              <w:t>ЦГиЭ</w:t>
            </w:r>
            <w:proofErr w:type="spellEnd"/>
            <w:r w:rsidRPr="008233A0">
              <w:rPr>
                <w:rFonts w:ascii="Times New Roman" w:hAnsi="Times New Roman" w:cs="Times New Roman"/>
                <w:lang w:val="ru-RU"/>
              </w:rPr>
              <w:t>» - https://slgigiena.by/;</w:t>
            </w:r>
          </w:p>
          <w:p w:rsidR="008233A0" w:rsidRPr="008233A0" w:rsidRDefault="008233A0" w:rsidP="008233A0">
            <w:pPr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Слуцкого РИК - https://slutsk.gov.by/ru/; </w:t>
            </w:r>
          </w:p>
          <w:p w:rsidR="008233A0" w:rsidRPr="008233A0" w:rsidRDefault="008233A0" w:rsidP="008233A0">
            <w:pPr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 xml:space="preserve">районной газеты «Слуцкий край» (рубрика «Здоровые города и поселки») - </w:t>
            </w:r>
            <w:hyperlink r:id="rId12" w:history="1">
              <w:r w:rsidRPr="008233A0">
                <w:rPr>
                  <w:rStyle w:val="ac"/>
                  <w:rFonts w:ascii="Times New Roman" w:hAnsi="Times New Roman" w:cs="Times New Roman"/>
                  <w:lang w:val="ru-RU"/>
                </w:rPr>
                <w:t>https://s-k.by/</w:t>
              </w:r>
            </w:hyperlink>
          </w:p>
          <w:p w:rsidR="008233A0" w:rsidRPr="008233A0" w:rsidRDefault="008233A0" w:rsidP="008233A0">
            <w:pPr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233A0">
              <w:rPr>
                <w:rFonts w:ascii="Times New Roman" w:hAnsi="Times New Roman" w:cs="Times New Roman"/>
                <w:lang w:val="ru-RU"/>
              </w:rPr>
              <w:t>Сайты учреждений образования, спорта и туризма Слуцкого района – 285 материалов</w:t>
            </w:r>
          </w:p>
        </w:tc>
      </w:tr>
    </w:tbl>
    <w:p w:rsid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8233A0" w:rsidRPr="008233A0" w:rsidRDefault="008233A0" w:rsidP="008233A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8233A0" w:rsidRDefault="008233A0" w:rsidP="008233A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lang w:val="ru-RU"/>
        </w:rPr>
      </w:pPr>
    </w:p>
    <w:p w:rsidR="008233A0" w:rsidRDefault="00C57578" w:rsidP="008233A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C57578">
        <w:rPr>
          <w:rFonts w:ascii="Times New Roman" w:hAnsi="Times New Roman" w:cs="Times New Roman"/>
          <w:b/>
          <w:szCs w:val="28"/>
          <w:lang w:val="ru-RU"/>
        </w:rPr>
        <w:lastRenderedPageBreak/>
        <w:t>АНАЛИЗ СОГЛАСНО БАЗОВОМУ ПЕРЕЧНЮ ЭФФЕКТИВНОСТИ ПРОЕКТА</w:t>
      </w:r>
    </w:p>
    <w:p w:rsidR="002D5373" w:rsidRDefault="00C57578" w:rsidP="008233A0">
      <w:pPr>
        <w:spacing w:after="120" w:line="240" w:lineRule="auto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C57578">
        <w:rPr>
          <w:rFonts w:ascii="Times New Roman" w:hAnsi="Times New Roman" w:cs="Times New Roman"/>
          <w:b/>
          <w:szCs w:val="28"/>
          <w:lang w:val="ru-RU"/>
        </w:rPr>
        <w:t>ЗА 2025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8"/>
        <w:gridCol w:w="6612"/>
        <w:gridCol w:w="3210"/>
      </w:tblGrid>
      <w:tr w:rsidR="00E327C2" w:rsidTr="00E327C2">
        <w:tc>
          <w:tcPr>
            <w:tcW w:w="458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№</w:t>
            </w:r>
          </w:p>
        </w:tc>
        <w:tc>
          <w:tcPr>
            <w:tcW w:w="6612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Наименование</w:t>
            </w:r>
          </w:p>
        </w:tc>
        <w:tc>
          <w:tcPr>
            <w:tcW w:w="3210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Данные за 2025 год</w:t>
            </w:r>
          </w:p>
        </w:tc>
      </w:tr>
      <w:tr w:rsidR="00E327C2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7C2">
              <w:rPr>
                <w:rFonts w:ascii="Times New Roman" w:hAnsi="Times New Roman" w:cs="Times New Roman"/>
                <w:szCs w:val="28"/>
                <w:lang w:val="ru-RU"/>
              </w:rPr>
              <w:t>Внедрение в практику работы рекомендаций и программ, способствующих сохранению  и укреплению здоровья различных групп населения</w:t>
            </w:r>
          </w:p>
        </w:tc>
        <w:tc>
          <w:tcPr>
            <w:tcW w:w="3210" w:type="dxa"/>
          </w:tcPr>
          <w:p w:rsidR="00E327C2" w:rsidRPr="00D22818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C000C8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Увеличение количества жителей агрогородка, участвующих  в мероприятиях проекта «Здоровые города и поселки»</w:t>
            </w:r>
          </w:p>
        </w:tc>
        <w:tc>
          <w:tcPr>
            <w:tcW w:w="3210" w:type="dxa"/>
          </w:tcPr>
          <w:p w:rsidR="00E327C2" w:rsidRPr="00D22818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D22818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Рост лиц, ведущих здоровый образ жизни с достаточной двигательной активностью</w:t>
            </w:r>
          </w:p>
        </w:tc>
        <w:tc>
          <w:tcPr>
            <w:tcW w:w="3210" w:type="dxa"/>
          </w:tcPr>
          <w:p w:rsidR="00E327C2" w:rsidRPr="00D22818" w:rsidRDefault="00D22818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Увеличилось на 5%</w:t>
            </w:r>
          </w:p>
        </w:tc>
      </w:tr>
      <w:tr w:rsidR="00E327C2" w:rsidRPr="00D22818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Снижение показателей распространенности поведенческих факторов риска – потребления табака, наркотиков, алкоголя, сахара и соли</w:t>
            </w:r>
          </w:p>
        </w:tc>
        <w:tc>
          <w:tcPr>
            <w:tcW w:w="3210" w:type="dxa"/>
          </w:tcPr>
          <w:p w:rsidR="00D122F1" w:rsidRPr="00C33FEE" w:rsidRDefault="00D122F1" w:rsidP="00D122F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33FEE">
              <w:rPr>
                <w:rFonts w:ascii="Times New Roman" w:hAnsi="Times New Roman" w:cs="Times New Roman"/>
                <w:szCs w:val="28"/>
                <w:lang w:val="ru-RU"/>
              </w:rPr>
              <w:t>Снижение:</w:t>
            </w:r>
          </w:p>
          <w:p w:rsidR="00D122F1" w:rsidRDefault="008233A0" w:rsidP="00D122F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т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 xml:space="preserve">абака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– 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>на 6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="00D122F1" w:rsidRPr="00C33FEE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</w:t>
            </w:r>
          </w:p>
          <w:p w:rsidR="00D122F1" w:rsidRDefault="008233A0" w:rsidP="00D122F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 xml:space="preserve">лкоголя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– 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>на 4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</w:t>
            </w:r>
          </w:p>
          <w:p w:rsidR="00D122F1" w:rsidRDefault="008233A0" w:rsidP="00D122F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 xml:space="preserve">ахара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– 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>на 5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</w:t>
            </w:r>
          </w:p>
          <w:p w:rsidR="00E327C2" w:rsidRPr="00D22818" w:rsidRDefault="008233A0" w:rsidP="00D122F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 xml:space="preserve">оли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– 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>на 4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="00D122F1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</w:tc>
      </w:tr>
      <w:tr w:rsidR="00E327C2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Обеспечение полного охвата диспансеризацией</w:t>
            </w:r>
          </w:p>
        </w:tc>
        <w:tc>
          <w:tcPr>
            <w:tcW w:w="3210" w:type="dxa"/>
          </w:tcPr>
          <w:p w:rsidR="00E327C2" w:rsidRPr="00D22818" w:rsidRDefault="00D22818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22818">
              <w:rPr>
                <w:rFonts w:ascii="Times New Roman" w:hAnsi="Times New Roman" w:cs="Times New Roman"/>
                <w:szCs w:val="28"/>
                <w:lang w:val="ru-RU"/>
              </w:rPr>
              <w:t>100%</w:t>
            </w:r>
          </w:p>
        </w:tc>
      </w:tr>
      <w:tr w:rsidR="00E327C2" w:rsidRPr="00C000C8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Увеличение удельного  веса субъектов социально-экономической деятельности, использующих различные формы материального стимулирования работников, приверженных здоровому образу жизни</w:t>
            </w:r>
          </w:p>
        </w:tc>
        <w:tc>
          <w:tcPr>
            <w:tcW w:w="3210" w:type="dxa"/>
          </w:tcPr>
          <w:p w:rsidR="00E327C2" w:rsidRPr="00D22818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C000C8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Улучшение состояния среды обитания путем благоустройства, озеленения, санитарной очистки </w:t>
            </w:r>
          </w:p>
        </w:tc>
        <w:tc>
          <w:tcPr>
            <w:tcW w:w="3210" w:type="dxa"/>
          </w:tcPr>
          <w:p w:rsidR="00E327C2" w:rsidRPr="00D22818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D22818" w:rsidRPr="00D22818" w:rsidRDefault="00C000C8" w:rsidP="00C000C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Улучшений в числовом выражении по показателям внедрения в практику программ по сохранению и укреплению здоровья населения, количества субъектов, использующих меры материального стимулирования за ведение здорового образа жизни, озеленения не произошло.</w:t>
      </w:r>
    </w:p>
    <w:p w:rsidR="00D22818" w:rsidRPr="00D22818" w:rsidRDefault="008233A0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В аг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.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Лучники специалистами ГУ «Слуцкий зональный </w:t>
      </w:r>
      <w:proofErr w:type="spellStart"/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ЦГиЭ</w:t>
      </w:r>
      <w:proofErr w:type="spellEnd"/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» проведён анкетный опрос по изучению поведенческих и биологических факторов риск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а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, проанкетировано 204 человека.</w:t>
      </w:r>
    </w:p>
    <w:p w:rsidR="008233A0" w:rsidRDefault="008233A0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D22818" w:rsidRPr="00D22818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Начальное анкетирование:</w:t>
      </w:r>
    </w:p>
    <w:p w:rsidR="00D22818" w:rsidRPr="00D22818" w:rsidRDefault="008233A0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Демографическая характеристика респондентов: женщины – 78 человек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(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38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%), мужчины – 126 человек (62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%). Возрастной диапазон: 26-30 лет – 109 человек (53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%), 30-35 лет – 95 человек (47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%).</w:t>
      </w:r>
    </w:p>
    <w:p w:rsidR="00D22818" w:rsidRPr="00D22818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D22818" w:rsidRPr="00D22818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1.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Согласно анализу анкет 9</w:t>
      </w:r>
      <w:r w:rsidR="008233A0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пробовали курить,</w:t>
      </w:r>
    </w:p>
    <w:p w:rsidR="008233A0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33 % пробовали однажды, но больше не курили, 27</w:t>
      </w:r>
      <w:r w:rsidR="008233A0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курили, но бросили, 24</w:t>
      </w:r>
      <w:r w:rsidR="008233A0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от случая к случаю, 7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постоянно.</w:t>
      </w:r>
    </w:p>
    <w:p w:rsidR="008233A0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2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. 5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употребляют алкогольные напитки, 65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год (только по праздникам), 22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месяц, 8 % несколько раз в неделю,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ежедневно.</w:t>
      </w:r>
    </w:p>
    <w:p w:rsidR="008233A0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3.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84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уделяют не менее 20 минут в день физической активности (физические упражнения, ходьба, бег, танцы, спорт), 16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не уделяют.</w:t>
      </w:r>
    </w:p>
    <w:p w:rsidR="008233A0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4.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2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опрошенных вообще не употребляют соль, 70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до 1 чайной ложки соли, 15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9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4 % 4 чайные ложки соли,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4 чайных ложек соли.</w:t>
      </w:r>
    </w:p>
    <w:p w:rsidR="008233A0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5.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3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опрошенных вообще не употребляют сахар, 35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только 1 чайную ложку сахара, 17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13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 12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4 чайные ложки, 15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5 чайных ложек,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5 % 6 чайных ложек,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7 чайных ложек,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0 % 8 чайных ложек,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9 чайных ложек,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0 % 10 чайных ложек, 0% 11 чайных ложек, 0% 12 чайных ложек,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12 чайных ложек.</w:t>
      </w:r>
    </w:p>
    <w:p w:rsidR="00D22818" w:rsidRPr="008233A0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6.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5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менее 100 граммов овощей и фруктов в среднем в сутки, 13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100 граммов, 19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200 граммов, 31 % 300 граммов,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27 % 400 граммов, 5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500 граммов,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600 граммов,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700 граммов,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800 граммов,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900 граммов,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1 кг овощей и фруктов,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более 1 кг.</w:t>
      </w:r>
    </w:p>
    <w:p w:rsidR="00D22818" w:rsidRPr="00D22818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Повторное анкетирование:</w:t>
      </w:r>
    </w:p>
    <w:p w:rsidR="00D22818" w:rsidRPr="00D22818" w:rsidRDefault="00DE0D29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ab/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Демографическая характеристика респондентов: женщины – 78 человек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(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38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%), мужчины – 126 человек (62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%). Возрастной диапазон: 26-30 лет – 109 человек (53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%), 30-35 лет – 95 человек (47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%).</w:t>
      </w:r>
    </w:p>
    <w:p w:rsidR="00D22818" w:rsidRPr="00D22818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D22818" w:rsidRPr="00D22818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1.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Согласно анализу анкет 9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пробовали курить,</w:t>
      </w:r>
    </w:p>
    <w:p w:rsidR="00DE0D29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33 % пробовали </w:t>
      </w:r>
      <w:r w:rsidR="00BA6DC1">
        <w:rPr>
          <w:rFonts w:ascii="Times New Roman" w:eastAsia="Times New Roman" w:hAnsi="Times New Roman" w:cs="Times New Roman"/>
          <w:kern w:val="0"/>
          <w:lang w:val="ru-RU" w:eastAsia="ru-RU" w:bidi="ar-SA"/>
        </w:rPr>
        <w:t>однажды, но больше не курили, 2</w:t>
      </w:r>
      <w:r w:rsidR="00ED520C">
        <w:rPr>
          <w:rFonts w:ascii="Times New Roman" w:eastAsia="Times New Roman" w:hAnsi="Times New Roman" w:cs="Times New Roman"/>
          <w:kern w:val="0"/>
          <w:lang w:val="ru-RU" w:eastAsia="ru-RU" w:bidi="ar-SA"/>
        </w:rPr>
        <w:t>9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курили, но бросили, </w:t>
      </w:r>
      <w:r w:rsidR="00BA6DC1">
        <w:rPr>
          <w:rFonts w:ascii="Times New Roman" w:eastAsia="Times New Roman" w:hAnsi="Times New Roman" w:cs="Times New Roman"/>
          <w:kern w:val="0"/>
          <w:lang w:val="ru-RU" w:eastAsia="ru-RU" w:bidi="ar-SA"/>
        </w:rPr>
        <w:t>2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>6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A6DC1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от случая к случаю, 3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постоянно.</w:t>
      </w:r>
    </w:p>
    <w:p w:rsidR="00DE0D29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2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. 5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употребляют алкогольные напитки, 6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>9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несколько раз в год (только по праздникам),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>20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несколько раз в месяц,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>6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несколько раз в неделю,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ежедневно.</w:t>
      </w:r>
    </w:p>
    <w:p w:rsidR="00DE0D29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3.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89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уделяют не менее 20 минут в день физической активности (физические упражнения, ходьба, бег, танцы, спорт), 11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не уделяют.</w:t>
      </w:r>
    </w:p>
    <w:p w:rsidR="00DE0D29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4.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2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опрошенных вообще не употребляют соль, 74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до 1 чайной ложки соли, 12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8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4 % 4 чайные ложки соли,0 % более 4 чайных ложек соли.</w:t>
      </w:r>
    </w:p>
    <w:p w:rsidR="00DE0D29" w:rsidRPr="00145A8C" w:rsidRDefault="00D22818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5.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3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опрошенных</w:t>
      </w:r>
      <w:r w:rsidR="0013009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вообще не употребляют сахар, 40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употребляют </w:t>
      </w:r>
      <w:r w:rsidR="0013009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только 1 чайную ложку сахара, </w:t>
      </w:r>
      <w:r w:rsidR="000F72A8">
        <w:rPr>
          <w:rFonts w:ascii="Times New Roman" w:eastAsia="Times New Roman" w:hAnsi="Times New Roman" w:cs="Times New Roman"/>
          <w:kern w:val="0"/>
          <w:lang w:val="ru-RU" w:eastAsia="ru-RU" w:bidi="ar-SA"/>
        </w:rPr>
        <w:t>18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1</w:t>
      </w:r>
      <w:r w:rsidR="000F72A8">
        <w:rPr>
          <w:rFonts w:ascii="Times New Roman" w:eastAsia="Times New Roman" w:hAnsi="Times New Roman" w:cs="Times New Roman"/>
          <w:kern w:val="0"/>
          <w:lang w:val="ru-RU" w:eastAsia="ru-RU" w:bidi="ar-SA"/>
        </w:rPr>
        <w:t>2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 10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4 чайные ложки, </w:t>
      </w:r>
      <w:r w:rsidR="00CE6D63">
        <w:rPr>
          <w:rFonts w:ascii="Times New Roman" w:eastAsia="Times New Roman" w:hAnsi="Times New Roman" w:cs="Times New Roman"/>
          <w:kern w:val="0"/>
          <w:lang w:val="ru-RU" w:eastAsia="ru-RU" w:bidi="ar-SA"/>
        </w:rPr>
        <w:t>13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5 чайных ложек,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4 % 6 чайных ложек,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7 чайных ложек,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0 % 8 чайных ложек,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9 чайных ложек,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0 % 10 чайных ложек,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11 чайных ложек, 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12 чайных ложек,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12 чайных ложек.</w:t>
      </w:r>
    </w:p>
    <w:p w:rsidR="00D22818" w:rsidRPr="00D22818" w:rsidRDefault="00BD6535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6. 2</w:t>
      </w:r>
      <w:r w:rsidR="00DE0D29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менее 100 граммов овощей</w:t>
      </w:r>
      <w:r w:rsidR="0083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и фруктов в сред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нем в сутки, 14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830B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100 граммов, 20</w:t>
      </w:r>
      <w:r w:rsidR="00DE0D29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% 200 граммов, 31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830BA">
        <w:rPr>
          <w:rFonts w:ascii="Times New Roman" w:eastAsia="Times New Roman" w:hAnsi="Times New Roman" w:cs="Times New Roman"/>
          <w:kern w:val="0"/>
          <w:lang w:val="ru-RU" w:eastAsia="ru-RU" w:bidi="ar-SA"/>
        </w:rPr>
        <w:t>% 300 граммов,</w:t>
      </w:r>
      <w:r w:rsidR="00C64D0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830B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28 % 400 граммов,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5</w:t>
      </w:r>
      <w:r w:rsidR="00C64D0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500 граммов, 0</w:t>
      </w:r>
      <w:r w:rsidR="00C64D0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600 граммов, 0</w:t>
      </w:r>
      <w:r w:rsidR="00C64D0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700 граммов, 0</w:t>
      </w:r>
      <w:r w:rsidR="00C64D0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800 граммов, 0</w:t>
      </w:r>
      <w:r w:rsidR="00C64D0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900 граммов, 0</w:t>
      </w:r>
      <w:r w:rsidR="00C64D0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1 кг овощей и фруктов, 0</w:t>
      </w:r>
      <w:r w:rsidR="00C64D0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более 1 кг.</w:t>
      </w:r>
    </w:p>
    <w:p w:rsidR="00DE0D29" w:rsidRDefault="00DE0D29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D22818" w:rsidRPr="00D22818" w:rsidRDefault="00145A8C" w:rsidP="00D22818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Анализ</w:t>
      </w:r>
      <w:r w:rsidR="00D22818" w:rsidRPr="00D22818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:</w:t>
      </w:r>
    </w:p>
    <w:p w:rsidR="00D22818" w:rsidRPr="00D22818" w:rsidRDefault="00D22818" w:rsidP="00D22818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Согласно анализу анкет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илось на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2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число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тех, кто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>бросил курить,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и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сократилось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на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4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тех, кто курит постоянно.</w:t>
      </w:r>
    </w:p>
    <w:p w:rsidR="00D22818" w:rsidRPr="00D22818" w:rsidRDefault="0006103C" w:rsidP="00D22818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С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ократилось на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2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количество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тех, кто употребляет алкогольные напитки несколько раз в месяц,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и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на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2 </w:t>
      </w:r>
      <w:r w:rsidR="00D22818"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 тех, кто употребляет несколько раз в неделю.</w:t>
      </w:r>
    </w:p>
    <w:p w:rsidR="00D22818" w:rsidRPr="00D22818" w:rsidRDefault="00D22818" w:rsidP="00D22818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Увеличилось на 5 % 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число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респондентов, которые уделяют не менее 20 минут в день физической активности.</w:t>
      </w:r>
    </w:p>
    <w:p w:rsidR="00D22818" w:rsidRPr="00D22818" w:rsidRDefault="00D22818" w:rsidP="00D22818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bookmarkStart w:id="9" w:name="_Hlk224293741"/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4</w:t>
      </w:r>
      <w:r w:rsidR="0020102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>%</w:t>
      </w:r>
      <w:r w:rsidR="0006103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число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респондентов, </w:t>
      </w:r>
      <w:r w:rsidR="00387444">
        <w:rPr>
          <w:rFonts w:ascii="Times New Roman" w:eastAsia="Times New Roman" w:hAnsi="Times New Roman" w:cs="Times New Roman"/>
          <w:kern w:val="0"/>
          <w:lang w:val="ru-RU" w:eastAsia="ru-RU" w:bidi="ar-SA"/>
        </w:rPr>
        <w:t>снизивших потребление соли</w:t>
      </w:r>
      <w:r w:rsidRPr="00D2281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до 1 чайной ложки.</w:t>
      </w:r>
    </w:p>
    <w:bookmarkEnd w:id="9"/>
    <w:p w:rsidR="00CE6D63" w:rsidRDefault="0020102A" w:rsidP="00CE6D6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20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число респондентов, снизивших потребление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</w:t>
      </w:r>
      <w:r w:rsidRPr="0020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чайной ложки.</w:t>
      </w:r>
    </w:p>
    <w:p w:rsidR="00CE6D63" w:rsidRPr="00CE6D63" w:rsidRDefault="00CE6D63" w:rsidP="00CE6D6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D63">
        <w:rPr>
          <w:rFonts w:ascii="Times New Roman" w:eastAsia="Times New Roman" w:hAnsi="Times New Roman" w:cs="Times New Roman"/>
          <w:lang w:eastAsia="ru-RU"/>
        </w:rPr>
        <w:t>Увеличилось на 5 % число респондентов, дополнивших рацион овощами и фруктами.</w:t>
      </w:r>
    </w:p>
    <w:p w:rsidR="00CE6D63" w:rsidRPr="00CE6D63" w:rsidRDefault="00CE6D63" w:rsidP="00CE6D63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CE6D63">
        <w:rPr>
          <w:rFonts w:ascii="Times New Roman" w:hAnsi="Times New Roman" w:cs="Times New Roman"/>
          <w:szCs w:val="28"/>
          <w:lang w:val="ru-RU"/>
        </w:rPr>
        <w:t>Межведомственный информационный проект «Школа – территория здоровья» реализуется в ГУО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Лучников</w:t>
      </w:r>
      <w:r w:rsidRPr="00CE6D63">
        <w:rPr>
          <w:rFonts w:ascii="Times New Roman" w:hAnsi="Times New Roman" w:cs="Times New Roman"/>
          <w:szCs w:val="28"/>
          <w:lang w:val="ru-RU"/>
        </w:rPr>
        <w:t>ская</w:t>
      </w:r>
      <w:proofErr w:type="spellEnd"/>
      <w:r w:rsidRPr="00CE6D63">
        <w:rPr>
          <w:rFonts w:ascii="Times New Roman" w:hAnsi="Times New Roman" w:cs="Times New Roman"/>
          <w:szCs w:val="28"/>
          <w:lang w:val="ru-RU"/>
        </w:rPr>
        <w:t xml:space="preserve"> средняя школа». Охвачено </w:t>
      </w:r>
      <w:r>
        <w:rPr>
          <w:rFonts w:ascii="Times New Roman" w:hAnsi="Times New Roman" w:cs="Times New Roman"/>
          <w:szCs w:val="28"/>
          <w:lang w:val="ru-RU"/>
        </w:rPr>
        <w:t>168</w:t>
      </w:r>
      <w:r w:rsidRPr="00CE6D63">
        <w:rPr>
          <w:rFonts w:ascii="Times New Roman" w:hAnsi="Times New Roman" w:cs="Times New Roman"/>
          <w:szCs w:val="28"/>
          <w:lang w:val="ru-RU"/>
        </w:rPr>
        <w:t xml:space="preserve"> учащихся.</w:t>
      </w:r>
    </w:p>
    <w:p w:rsidR="00CE6D63" w:rsidRPr="00CE6D63" w:rsidRDefault="00CE6D63" w:rsidP="00CE6D63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CE6D63">
        <w:rPr>
          <w:rFonts w:ascii="Times New Roman" w:hAnsi="Times New Roman" w:cs="Times New Roman"/>
          <w:szCs w:val="28"/>
          <w:lang w:val="ru-RU"/>
        </w:rPr>
        <w:tab/>
        <w:t xml:space="preserve">Работа по сохранению и укреплению здоровья школьников проводится руководителями и педагогами совместно со специалистами управления по образованию, отдела спорта и туризма районного исполнительного комитета, медицинскими работниками ГУ «Слуцкий зональный </w:t>
      </w:r>
      <w:proofErr w:type="spellStart"/>
      <w:r w:rsidRPr="00CE6D63">
        <w:rPr>
          <w:rFonts w:ascii="Times New Roman" w:hAnsi="Times New Roman" w:cs="Times New Roman"/>
          <w:szCs w:val="28"/>
          <w:lang w:val="ru-RU"/>
        </w:rPr>
        <w:t>ЦГиЭ</w:t>
      </w:r>
      <w:proofErr w:type="spellEnd"/>
      <w:r w:rsidRPr="00CE6D63">
        <w:rPr>
          <w:rFonts w:ascii="Times New Roman" w:hAnsi="Times New Roman" w:cs="Times New Roman"/>
          <w:szCs w:val="28"/>
          <w:lang w:val="ru-RU"/>
        </w:rPr>
        <w:t>» и УЗ «Слуцкая ЦРБ» с привлечением родителей.</w:t>
      </w:r>
    </w:p>
    <w:p w:rsidR="00D22818" w:rsidRDefault="00CE6D63" w:rsidP="00CE6D63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CE6D63">
        <w:rPr>
          <w:rFonts w:ascii="Times New Roman" w:hAnsi="Times New Roman" w:cs="Times New Roman"/>
          <w:szCs w:val="28"/>
          <w:lang w:val="ru-RU"/>
        </w:rPr>
        <w:tab/>
        <w:t>Разработана программа производственного контроля и обеспечен мониторинг соблюдения требований санэпидзаконодательства. На уроках обеспечивается смена видов деятельности с учетом периодов работоспособности детей, учет возрастных и физиологических особенностей ребенка, используются эмоциональные разрядки и физкультминутки. Организован контроль за адаптацией детей, при необходимости проводятся консультирование и корректирующие мероприятия. Ведется целенаправленная работа по ФЗОЖ в форме общешкольных и классных мероприятий. Проводится анкетирование учащихся и родителей для изучения уровня знаний по вопросам гигиены и профилактики.</w:t>
      </w:r>
    </w:p>
    <w:p w:rsidR="00C000C8" w:rsidRDefault="00C000C8" w:rsidP="00CE6D63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AE1315" w:rsidRDefault="002D5373" w:rsidP="00CE6D63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E1315">
        <w:rPr>
          <w:rFonts w:ascii="Times New Roman" w:hAnsi="Times New Roman" w:cs="Times New Roman"/>
          <w:b/>
          <w:lang w:val="ru-RU"/>
        </w:rPr>
        <w:t>МЕРОПРИЯТИЯ</w:t>
      </w:r>
      <w:r w:rsidR="00CE6D63">
        <w:rPr>
          <w:rFonts w:ascii="Times New Roman" w:hAnsi="Times New Roman" w:cs="Times New Roman"/>
          <w:b/>
          <w:lang w:val="ru-RU"/>
        </w:rPr>
        <w:t>,</w:t>
      </w:r>
      <w:r w:rsidRPr="00AE1315">
        <w:rPr>
          <w:rFonts w:ascii="Times New Roman" w:hAnsi="Times New Roman" w:cs="Times New Roman"/>
          <w:b/>
          <w:lang w:val="ru-RU"/>
        </w:rPr>
        <w:t xml:space="preserve"> ПРОВОДИМЫЕ В РАМКАХ ПРОЕКТА В 202</w:t>
      </w:r>
      <w:r w:rsidR="00095C62">
        <w:rPr>
          <w:rFonts w:ascii="Times New Roman" w:hAnsi="Times New Roman" w:cs="Times New Roman"/>
          <w:b/>
          <w:lang w:val="ru-RU"/>
        </w:rPr>
        <w:t>5</w:t>
      </w:r>
      <w:r w:rsidRPr="00AE1315">
        <w:rPr>
          <w:rFonts w:ascii="Times New Roman" w:hAnsi="Times New Roman" w:cs="Times New Roman"/>
          <w:b/>
          <w:lang w:val="ru-RU"/>
        </w:rPr>
        <w:t xml:space="preserve"> ГОДУ</w:t>
      </w:r>
    </w:p>
    <w:p w:rsidR="00975216" w:rsidRPr="00975216" w:rsidRDefault="00DC77D0" w:rsidP="00975216">
      <w:pPr>
        <w:overflowPunct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lang w:val="ru-RU" w:eastAsia="en-US" w:bidi="ar-SA"/>
        </w:rPr>
        <w:tab/>
      </w:r>
      <w:r w:rsidR="00975216"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31.01.2025 в ГУО «Детский сад </w:t>
      </w:r>
      <w:proofErr w:type="spellStart"/>
      <w:r w:rsidR="00975216"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>аг.Лучники</w:t>
      </w:r>
      <w:proofErr w:type="spellEnd"/>
      <w:r w:rsidR="00CE6D63"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 Слуцкого района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» </w:t>
      </w:r>
      <w:r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и </w:t>
      </w:r>
      <w:r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>ГУО «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>Лучниковская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 средняя школа»</w:t>
      </w:r>
      <w:r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 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сотрудниками ГУ «Слуцкий зональный </w:t>
      </w:r>
      <w:proofErr w:type="spellStart"/>
      <w:r w:rsidR="00975216"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>ЦГиЭ</w:t>
      </w:r>
      <w:proofErr w:type="spellEnd"/>
      <w:r w:rsidR="00975216"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» проведена беседа на тему: «Общие принципы профилактики инфекционных заболеваний, в том числе </w:t>
      </w:r>
      <w:r w:rsidR="00975216" w:rsidRPr="00975216">
        <w:rPr>
          <w:rFonts w:ascii="Times New Roman" w:eastAsia="Calibri" w:hAnsi="Times New Roman" w:cs="Times New Roman"/>
          <w:kern w:val="0"/>
          <w:lang w:eastAsia="en-US" w:bidi="ar-SA"/>
        </w:rPr>
        <w:t>COVID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-19, ОРИ, 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lastRenderedPageBreak/>
        <w:t>гриппа. Соблюдение санитарно-гигиенического режима в учреждениях для детей и подростков. Прививка и их значение»</w:t>
      </w:r>
      <w:r>
        <w:rPr>
          <w:rFonts w:ascii="Times New Roman" w:eastAsia="Calibri" w:hAnsi="Times New Roman" w:cs="Times New Roman"/>
          <w:kern w:val="0"/>
          <w:lang w:val="ru-RU" w:eastAsia="en-US" w:bidi="ar-SA"/>
        </w:rPr>
        <w:t>.</w:t>
      </w:r>
    </w:p>
    <w:p w:rsidR="00975216" w:rsidRPr="00975216" w:rsidRDefault="00DC77D0" w:rsidP="00975216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ab/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ГУ «Слуцкий зональный 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ЦГиЭ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» внёс свои предложения в план благоустройства об оборудовании велосипедных дорожек и 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веломаршрутов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в 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рамках профилактического проекта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«Агрогородок Лучники – здоровый посёлок» на 2025-2027 годы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(</w:t>
      </w:r>
      <w:r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27.01.2025 №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r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29-2/387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).</w:t>
      </w:r>
    </w:p>
    <w:p w:rsidR="00975216" w:rsidRPr="00DC77D0" w:rsidRDefault="00DC77D0" w:rsidP="00DC29F8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>
        <w:rPr>
          <w:rFonts w:ascii="Times New Roman" w:eastAsia="Calibri" w:hAnsi="Times New Roman" w:cs="Times New Roman"/>
          <w:kern w:val="0"/>
          <w:lang w:val="ru-RU" w:eastAsia="ru-RU" w:bidi="ru-RU"/>
        </w:rPr>
        <w:tab/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Государственное учреждение образования «</w:t>
      </w:r>
      <w:proofErr w:type="spellStart"/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Лучниковская</w:t>
      </w:r>
      <w:proofErr w:type="spellEnd"/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средняя школа» является территорией свободной от курения. Меры материального стимулирования работников, ведущих здоровый образ жизни, предусмотрены коллективным договором УО.</w:t>
      </w:r>
      <w:r w:rsidRPr="00DC77D0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Приказом ГУО «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Лучниковская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средняя школа» назначена ответственным лицом заместитель директора 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Криводубская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М.А. </w:t>
      </w:r>
      <w:r w:rsidRPr="00975216"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(Приказ 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31.08.2024 № 242) за планирование и организацию работы по формированию здорового образа жизни, обеспечение действенного контроля по ФЗОЖ.</w:t>
      </w:r>
    </w:p>
    <w:p w:rsidR="00975216" w:rsidRPr="00975216" w:rsidRDefault="00DC77D0" w:rsidP="00DC29F8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ab/>
        <w:t xml:space="preserve">В 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учреждениях образования проводи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тся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работа по формированию здорового образа жизни среди учащихся школы и воспитанников дошкольного учреждения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.</w:t>
      </w:r>
    </w:p>
    <w:p w:rsidR="00975216" w:rsidRPr="00975216" w:rsidRDefault="00DC77D0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ab/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ГУО «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Лучниковская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средняя школа», ГУО «Детский сад </w:t>
      </w:r>
      <w:proofErr w:type="spellStart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аг.Лучники</w:t>
      </w:r>
      <w:proofErr w:type="spellEnd"/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Слуцкого района»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lang w:val="ru-RU" w:eastAsia="ru-RU" w:bidi="ru-RU"/>
        </w:rPr>
        <w:t>о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беспечивают сотрудничество с общественными объединениями и религиозными конфессиями по вопросам пропаганды идеологии нравственных ценностей и здорового образа жизни (семинары, профилактические акции, круглые столы, диспуты и пр.)</w:t>
      </w:r>
      <w:r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В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2025 год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у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проведены встречи с представителями православной церкви: 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10.03.2025</w:t>
      </w:r>
      <w:r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-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10.04.2025 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месячник позитивного мышления, формировани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я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ЗОЖ и половой неприкосновенности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;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21.03.2025 «к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>руглый стол» с приглашение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м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священнослужителя «У порога самостоятельной жизни»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.</w:t>
      </w:r>
    </w:p>
    <w:p w:rsidR="00975216" w:rsidRPr="00DC77D0" w:rsidRDefault="00DC77D0" w:rsidP="00975216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ab/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В рамках плана мероприятий по реализации Программы сотрудничества между ГУО «</w:t>
      </w:r>
      <w:proofErr w:type="spellStart"/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Лучниковская</w:t>
      </w:r>
      <w:proofErr w:type="spellEnd"/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средняя школа» и Белорусской православной церковью на 2024/2025 учебный год проведена следующая работа: факультативны</w:t>
      </w:r>
      <w:r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е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заняти</w:t>
      </w:r>
      <w:r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я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«Основы духовно-нравственной культуры и патриотизма» на II ступени обучения, встреч</w:t>
      </w:r>
      <w:r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и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Клирика кафедрального собора Архангела Михаила иеродиакона Александра (</w:t>
      </w:r>
      <w:proofErr w:type="spellStart"/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Крицкого</w:t>
      </w:r>
      <w:proofErr w:type="spellEnd"/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)</w:t>
      </w:r>
      <w:r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с учащимися и проведение «уроков духовности», круглых столов, семейных гостиных, направленных на профилактику семейного неблагополучия и социального сиротства</w:t>
      </w:r>
      <w:r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на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темы: «Очаг тепла и доброты», «Духовное возрождение традиций</w:t>
      </w:r>
      <w:r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в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белорусской семье», «Значение семьи для человека и общества»</w:t>
      </w:r>
      <w:r w:rsidR="00DC29F8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;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проведены диспуты, дискуссии, инфо-сессия, уроки-рассуждения: «Семейные ценности и ценность семьи», «Семья и ее роль в формировании личности», «Ответственное родительство». Выступление представителей Церкви на общешкольном родительском собрании (протокол №</w:t>
      </w:r>
      <w:r w:rsidR="00DC29F8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2 от 28.03.2025 «О предупреждении гибели несовершеннолетних через формирование духовности в семье и правильное построение внутрисемейных отношений») и </w:t>
      </w:r>
      <w:r w:rsidR="00DC29F8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участие 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в работе «Родительского университета» на темы укрепления духовно-нравственных основ семьи, возрождения семейных ценностей и формировани</w:t>
      </w:r>
      <w:r w:rsidR="00DC29F8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я</w:t>
      </w:r>
      <w:r w:rsidR="00975216" w:rsidRPr="00975216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ЗОЖ в семье.</w:t>
      </w:r>
    </w:p>
    <w:p w:rsidR="00DC29F8" w:rsidRDefault="00DC29F8" w:rsidP="00975216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Calibri" w:hAnsi="Times New Roman" w:cs="Times New Roman"/>
          <w:kern w:val="0"/>
          <w:lang w:val="ru-RU" w:eastAsia="ru-RU" w:bidi="ru-RU"/>
        </w:rPr>
        <w:tab/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Провод</w:t>
      </w:r>
      <w:r>
        <w:rPr>
          <w:rFonts w:ascii="Times New Roman" w:eastAsia="Calibri" w:hAnsi="Times New Roman" w:cs="Times New Roman"/>
          <w:kern w:val="0"/>
          <w:lang w:val="ru-RU" w:eastAsia="ru-RU" w:bidi="ru-RU"/>
        </w:rPr>
        <w:t>ится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пропаганд</w:t>
      </w:r>
      <w:r>
        <w:rPr>
          <w:rFonts w:ascii="Times New Roman" w:eastAsia="Calibri" w:hAnsi="Times New Roman" w:cs="Times New Roman"/>
          <w:kern w:val="0"/>
          <w:lang w:val="ru-RU" w:eastAsia="ru-RU" w:bidi="ru-RU"/>
        </w:rPr>
        <w:t>а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оздоровительных методик, физической культуры и массовых видов спорта, вовлечение детей и молодежи в систематические занятия физической культурой и спортом</w:t>
      </w:r>
      <w:r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И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>гр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ы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>, викторин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ы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, </w:t>
      </w:r>
      <w:proofErr w:type="spellStart"/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>спортланди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и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,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соревновани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я,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флешмобы и акции</w:t>
      </w:r>
      <w:r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>в рамках Дней здоровья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:</w:t>
      </w:r>
    </w:p>
    <w:p w:rsidR="00DC29F8" w:rsidRDefault="00975216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11.01.2025 «Папа, мама и я </w:t>
      </w:r>
      <w:r w:rsidR="00DC29F8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–</w:t>
      </w: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 спортивная семья»,</w:t>
      </w:r>
    </w:p>
    <w:p w:rsidR="00DC29F8" w:rsidRDefault="00975216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</w:pPr>
      <w:r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08.02.2025 </w:t>
      </w:r>
      <w:proofErr w:type="spellStart"/>
      <w:r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с</w:t>
      </w: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портландия</w:t>
      </w:r>
      <w:proofErr w:type="spellEnd"/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 «Дальше. Выше. Сильнее»,</w:t>
      </w:r>
    </w:p>
    <w:p w:rsidR="00DC29F8" w:rsidRDefault="00975216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</w:pP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22.02.2025 спортивные соревнования </w:t>
      </w:r>
      <w:r w:rsidR="00DC29F8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«</w:t>
      </w: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Эстафета здоровья «Игровая радуга»,</w:t>
      </w:r>
    </w:p>
    <w:p w:rsidR="00975216" w:rsidRPr="00975216" w:rsidRDefault="00975216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15.03.2025 </w:t>
      </w:r>
      <w:r w:rsidR="00DC29F8">
        <w:rPr>
          <w:rFonts w:ascii="Times New Roman" w:eastAsiaTheme="minorHAnsi" w:hAnsi="Times New Roman" w:cs="Times New Roman"/>
          <w:kern w:val="0"/>
          <w:lang w:val="ru-RU" w:eastAsia="en-US" w:bidi="ar-SA"/>
        </w:rPr>
        <w:t>б</w:t>
      </w:r>
      <w:r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аскетбольный марафон</w:t>
      </w:r>
      <w:r w:rsidR="00DC29F8">
        <w:rPr>
          <w:rFonts w:ascii="Times New Roman" w:eastAsiaTheme="minorHAnsi" w:hAnsi="Times New Roman" w:cs="Times New Roman"/>
          <w:kern w:val="0"/>
          <w:lang w:val="ru-RU" w:eastAsia="en-US" w:bidi="ar-SA"/>
        </w:rPr>
        <w:t>,</w:t>
      </w:r>
    </w:p>
    <w:p w:rsidR="00975216" w:rsidRPr="00975216" w:rsidRDefault="00975216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</w:pP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12.04.2025 </w:t>
      </w:r>
      <w:r w:rsidR="00DC29F8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к</w:t>
      </w: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онкурс-эстафета «Апрельские старты»,</w:t>
      </w:r>
    </w:p>
    <w:p w:rsidR="00DC29F8" w:rsidRDefault="00975216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</w:pP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10.05.2025 </w:t>
      </w:r>
      <w:r w:rsidR="00DC29F8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с</w:t>
      </w: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портивный праздник «Главный рекорд </w:t>
      </w:r>
      <w:r w:rsidR="00DC29F8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–</w:t>
      </w:r>
      <w:r w:rsidRPr="00975216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 xml:space="preserve"> здоровье»</w:t>
      </w:r>
      <w:r w:rsidR="00DC29F8"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>.</w:t>
      </w:r>
    </w:p>
    <w:p w:rsidR="00975216" w:rsidRPr="00975216" w:rsidRDefault="00DC29F8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hd w:val="clear" w:color="auto" w:fill="FFFFFF"/>
          <w:lang w:val="ru-RU" w:eastAsia="en-US" w:bidi="ar-SA"/>
        </w:rPr>
        <w:tab/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Обеспечив</w:t>
      </w:r>
      <w:r>
        <w:rPr>
          <w:rFonts w:ascii="Times New Roman" w:eastAsia="Calibri" w:hAnsi="Times New Roman" w:cs="Times New Roman"/>
          <w:kern w:val="0"/>
          <w:lang w:val="ru-RU" w:eastAsia="ru-RU" w:bidi="ru-RU"/>
        </w:rPr>
        <w:t>ается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проведение профилактических акций, мероприятий по популяризации здорового образа жизни и предупреждению правонарушений, токсикомании, наркомании, пьянства и других негативных социальных проявлений с максимальным охватом населения агрогородка Лучники:</w:t>
      </w:r>
    </w:p>
    <w:p w:rsidR="00500FD6" w:rsidRDefault="0097521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20.02.2025 встреча учащихся 10-11 классов с врачом УЗ «Слуцкая ЦРБ», лекци</w:t>
      </w:r>
      <w:r w:rsidR="00500FD6">
        <w:rPr>
          <w:rFonts w:ascii="Times New Roman" w:eastAsia="Calibri" w:hAnsi="Times New Roman" w:cs="Times New Roman"/>
          <w:kern w:val="0"/>
          <w:lang w:val="ru-RU" w:eastAsia="ru-RU" w:bidi="ru-RU"/>
        </w:rPr>
        <w:t>и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«Половое воспитание школьников»</w:t>
      </w:r>
      <w:r w:rsidR="00500FD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, 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«Репродуктивное здоровье молодежи – будущее страны</w:t>
      </w:r>
      <w:r w:rsidR="00500FD6">
        <w:rPr>
          <w:rFonts w:ascii="Times New Roman" w:eastAsia="Calibri" w:hAnsi="Times New Roman" w:cs="Times New Roman"/>
          <w:kern w:val="0"/>
          <w:lang w:val="ru-RU" w:eastAsia="ru-RU" w:bidi="ru-RU"/>
        </w:rPr>
        <w:t>;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</w:t>
      </w:r>
      <w:r w:rsidR="00500FD6">
        <w:rPr>
          <w:rFonts w:ascii="Times New Roman" w:eastAsia="Calibri" w:hAnsi="Times New Roman" w:cs="Times New Roman"/>
          <w:kern w:val="0"/>
          <w:lang w:val="ru-RU" w:eastAsia="ru-RU" w:bidi="ru-RU"/>
        </w:rPr>
        <w:t>п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рофилактические классные часы: 14.02.2025 «Знай и соблюдай закон!»</w:t>
      </w:r>
      <w:r w:rsidR="00500FD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1-11 кл.</w:t>
      </w:r>
      <w:r w:rsidR="00500FD6">
        <w:rPr>
          <w:rFonts w:ascii="Times New Roman" w:eastAsia="Calibri" w:hAnsi="Times New Roman" w:cs="Times New Roman"/>
          <w:kern w:val="0"/>
          <w:lang w:val="ru-RU" w:eastAsia="ru-RU" w:bidi="ru-RU"/>
        </w:rPr>
        <w:t>;</w:t>
      </w:r>
    </w:p>
    <w:p w:rsidR="00975216" w:rsidRPr="00975216" w:rsidRDefault="0097521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lastRenderedPageBreak/>
        <w:t>03.03-07.03</w:t>
      </w:r>
      <w:r w:rsidR="00500FD6">
        <w:rPr>
          <w:rFonts w:ascii="Times New Roman" w:eastAsia="Calibri" w:hAnsi="Times New Roman" w:cs="Times New Roman"/>
          <w:kern w:val="0"/>
          <w:lang w:val="ru-RU" w:eastAsia="ru-RU" w:bidi="ru-RU"/>
        </w:rPr>
        <w:t>.2025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«Семья и детство без жестокости и насилия» 1-4 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кл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., «Жестокость и насилие: как им противостоять?» 8-11 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кл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., «Алкоголь – шаг в пропасть» 5-8 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кл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., «Алкоголь и алкогольная зависимость!» 8-11 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кл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</w:p>
    <w:p w:rsidR="00975216" w:rsidRPr="00975216" w:rsidRDefault="00500FD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>
        <w:rPr>
          <w:rFonts w:ascii="Times New Roman" w:eastAsia="Calibri" w:hAnsi="Times New Roman" w:cs="Times New Roman"/>
          <w:kern w:val="0"/>
          <w:lang w:val="ru-RU" w:eastAsia="ru-RU" w:bidi="ru-RU"/>
        </w:rPr>
        <w:tab/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Мероприятия шестого школьного дня:</w:t>
      </w:r>
    </w:p>
    <w:p w:rsidR="00975216" w:rsidRPr="00975216" w:rsidRDefault="0097521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08.03.2025 живая газета «Как избавиться от вредных привычек» 5-8 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кл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.,</w:t>
      </w:r>
    </w:p>
    <w:p w:rsidR="00500FD6" w:rsidRDefault="0097521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квилт «ЗОЖ – это ЗДОРОВО!» 9-11 кл.,</w:t>
      </w:r>
    </w:p>
    <w:p w:rsidR="00975216" w:rsidRPr="00975216" w:rsidRDefault="0097521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22.03.2025 открытый диалог «Ответственность за свои поступки» 10-11 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кл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</w:p>
    <w:p w:rsidR="00975216" w:rsidRPr="00975216" w:rsidRDefault="00500FD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ar-SA"/>
        </w:rPr>
      </w:pPr>
      <w:r>
        <w:rPr>
          <w:rFonts w:ascii="Times New Roman" w:eastAsia="Calibri" w:hAnsi="Times New Roman" w:cs="Times New Roman"/>
          <w:kern w:val="0"/>
          <w:lang w:val="ru-RU" w:eastAsia="ru-RU" w:bidi="ru-RU"/>
        </w:rPr>
        <w:tab/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Консультация для родителей «Как предупредить употребление подростками психоактивных веществ?»</w:t>
      </w:r>
      <w:r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>19.02.2025 совещание с классными руководителями (протокол №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>10)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>,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на котором рассмотрены вопросы: «Эпидемическая ситуация по гельминтозам, острым кишечным инфекциям, кожно-заразным инфекциям», «Механизм реализации плана организационно-аналитических, практических и иных мероприятий по защите несовершеннолетних от сексуального насилия и эксплуатации на 2025-2026 годы, утвержденного заместителем Премьер-министра Республики Беларусь </w:t>
      </w:r>
      <w:proofErr w:type="spellStart"/>
      <w:r w:rsidR="00975216"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>Петришенко</w:t>
      </w:r>
      <w:proofErr w:type="spellEnd"/>
      <w:r w:rsidR="00975216"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И.В. 17.12.2024 №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</w:t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>33/102-477/431», «Алгоритм информирования педагогическими работниками родителей, опекунов, попечителей обучающихся и (или) сотрудников органов внутренних дел о наличии признаков насилия в отношении несовершеннолетних».</w:t>
      </w:r>
    </w:p>
    <w:p w:rsidR="00500FD6" w:rsidRDefault="0097521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ar-SA"/>
        </w:rPr>
      </w:pP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16.04.2025 и 14.05.2025 встречи с инспектором ИДН Слуцкого РОВД, в ходе которых с учащимися 5-11 классов проведены беседы по популяризации ЗОЖ и предупреждению правонарушений, токсикомании, наркомании, пьянства. Постоянно доводится информация из группы «STOP наркотик» классными руководителями через мессенджер </w:t>
      </w:r>
      <w:r w:rsidRPr="00975216">
        <w:rPr>
          <w:rFonts w:ascii="Times New Roman" w:eastAsia="Calibri" w:hAnsi="Times New Roman" w:cs="Times New Roman"/>
          <w:kern w:val="0"/>
          <w:lang w:eastAsia="ru-RU" w:bidi="ru-RU"/>
        </w:rPr>
        <w:t>Viber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 родителям и учащимся, просмотр профилактических видеороликов «Сделай правильный выбор!», «Думал, никогда не попадусь…», проведение консультации для законных представителей учащихся по тактике выявления подростков, находящихся в состоянии наркотического опьянения, потребляющих наркотические, психотропные вещества и их аналоги.</w:t>
      </w:r>
    </w:p>
    <w:p w:rsidR="00975216" w:rsidRPr="00975216" w:rsidRDefault="00500FD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ar-SA"/>
        </w:rPr>
      </w:pPr>
      <w:r>
        <w:rPr>
          <w:rFonts w:ascii="Times New Roman" w:eastAsia="Calibri" w:hAnsi="Times New Roman" w:cs="Times New Roman"/>
          <w:kern w:val="0"/>
          <w:lang w:val="ru-RU" w:eastAsia="ru-RU" w:bidi="ar-SA"/>
        </w:rPr>
        <w:tab/>
        <w:t xml:space="preserve">В </w:t>
      </w:r>
      <w:r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>ГУО «</w:t>
      </w:r>
      <w:proofErr w:type="spellStart"/>
      <w:r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>Лучниковская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средняя школа»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функционирует</w:t>
      </w:r>
      <w:r w:rsidRPr="00975216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Детско-родительский клуб «Сотрудничество» (10 учащихся, 10 родителей).</w:t>
      </w:r>
    </w:p>
    <w:p w:rsidR="00975216" w:rsidRPr="00975216" w:rsidRDefault="00500FD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>
        <w:rPr>
          <w:rFonts w:ascii="Times New Roman" w:eastAsia="Calibri" w:hAnsi="Times New Roman" w:cs="Times New Roman"/>
          <w:kern w:val="0"/>
          <w:lang w:val="ru-RU" w:eastAsia="ru-RU" w:bidi="ru-RU"/>
        </w:rPr>
        <w:tab/>
      </w:r>
      <w:r w:rsidR="00975216"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На официальном сайте школы и на стендах размещены ссылки на видеоролики «Сделай правильный выбор!», «Думал, никогда не попадусь…» в разделе: «Воспитательная работа», во вкладке «Уголок безопасности» </w:t>
      </w:r>
      <w:hyperlink r:id="rId13" w:history="1">
        <w:r w:rsidR="00975216" w:rsidRPr="00975216">
          <w:rPr>
            <w:rFonts w:ascii="Times New Roman" w:eastAsia="Calibri" w:hAnsi="Times New Roman" w:cs="Times New Roman"/>
            <w:color w:val="0563C1"/>
            <w:kern w:val="0"/>
            <w:u w:val="single"/>
            <w:lang w:val="ru-RU" w:eastAsia="ru-RU" w:bidi="ru-RU"/>
          </w:rPr>
          <w:t>https://lychniki.slutsk-vedy.gov.by/воспитательная-работа/vospitanie-kultury-bezopasnosti-jiznedeiatelnosti-i-zdorovogo-obraza-jizni</w:t>
        </w:r>
      </w:hyperlink>
      <w:r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</w:p>
    <w:p w:rsidR="00975216" w:rsidRPr="00975216" w:rsidRDefault="00975216" w:rsidP="00975216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ru-RU"/>
        </w:rPr>
      </w:pP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Информационный интерактивный баннер «Молодёжь против наркотиков» был размещен на сайте </w:t>
      </w:r>
      <w:hyperlink r:id="rId14" w:history="1">
        <w:r w:rsidRPr="00975216">
          <w:rPr>
            <w:rFonts w:ascii="Times New Roman" w:eastAsia="Calibri" w:hAnsi="Times New Roman" w:cs="Times New Roman"/>
            <w:color w:val="0563C1"/>
            <w:kern w:val="0"/>
            <w:u w:val="single"/>
            <w:lang w:val="ru-RU" w:eastAsia="ru-RU" w:bidi="ru-RU"/>
          </w:rPr>
          <w:t>http://lychniki.slutsk-vedy.gov.by/</w:t>
        </w:r>
      </w:hyperlink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. При проведении профилактических занятий активно используются ресурсы сайтов </w:t>
      </w:r>
      <w:proofErr w:type="spellStart"/>
      <w:r w:rsidRPr="00975216">
        <w:rPr>
          <w:rFonts w:ascii="Times New Roman" w:eastAsia="Calibri" w:hAnsi="Times New Roman" w:cs="Times New Roman"/>
          <w:kern w:val="0"/>
          <w:lang w:eastAsia="ru-RU" w:bidi="ru-RU"/>
        </w:rPr>
        <w:t>pomogut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  <w:r w:rsidRPr="00975216">
        <w:rPr>
          <w:rFonts w:ascii="Times New Roman" w:eastAsia="Calibri" w:hAnsi="Times New Roman" w:cs="Times New Roman"/>
          <w:kern w:val="0"/>
          <w:lang w:eastAsia="ru-RU" w:bidi="ru-RU"/>
        </w:rPr>
        <w:t>by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 xml:space="preserve">, </w:t>
      </w:r>
      <w:r w:rsidRPr="00975216">
        <w:rPr>
          <w:rFonts w:ascii="Times New Roman" w:eastAsia="Calibri" w:hAnsi="Times New Roman" w:cs="Times New Roman"/>
          <w:kern w:val="0"/>
          <w:lang w:eastAsia="ru-RU" w:bidi="ru-RU"/>
        </w:rPr>
        <w:t>kids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  <w:proofErr w:type="spellStart"/>
      <w:r w:rsidRPr="00975216">
        <w:rPr>
          <w:rFonts w:ascii="Times New Roman" w:eastAsia="Calibri" w:hAnsi="Times New Roman" w:cs="Times New Roman"/>
          <w:kern w:val="0"/>
          <w:lang w:eastAsia="ru-RU" w:bidi="ru-RU"/>
        </w:rPr>
        <w:t>pomogut</w:t>
      </w:r>
      <w:proofErr w:type="spellEnd"/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.</w:t>
      </w:r>
      <w:r w:rsidRPr="00975216">
        <w:rPr>
          <w:rFonts w:ascii="Times New Roman" w:eastAsia="Calibri" w:hAnsi="Times New Roman" w:cs="Times New Roman"/>
          <w:kern w:val="0"/>
          <w:lang w:eastAsia="ru-RU" w:bidi="ru-RU"/>
        </w:rPr>
        <w:t>by</w:t>
      </w:r>
      <w:r w:rsidRPr="00975216">
        <w:rPr>
          <w:rFonts w:ascii="Times New Roman" w:eastAsia="Calibri" w:hAnsi="Times New Roman" w:cs="Times New Roman"/>
          <w:kern w:val="0"/>
          <w:lang w:val="ru-RU" w:eastAsia="ru-RU" w:bidi="ru-RU"/>
        </w:rPr>
        <w:t>, информационного ресурса Молодежь бел., Республиканского центра психологической помощи.</w:t>
      </w:r>
    </w:p>
    <w:p w:rsidR="00975216" w:rsidRPr="00975216" w:rsidRDefault="00500FD6" w:rsidP="00975216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ab/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Специалисты центра гигиены и эпидемиологии оказывают методическую помощь </w:t>
      </w: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>учреждениям</w:t>
      </w:r>
      <w:r w:rsidR="00975216" w:rsidRPr="00975216">
        <w:rPr>
          <w:rFonts w:ascii="Times New Roman" w:eastAsiaTheme="minorHAnsi" w:hAnsi="Times New Roman" w:cs="Times New Roman"/>
          <w:kern w:val="0"/>
          <w:lang w:val="ru-RU" w:eastAsia="en-US" w:bidi="ar-SA"/>
        </w:rPr>
        <w:t>, участвуют в подготовке и проведении мероприятий по формированию здорового образа жизни.</w:t>
      </w:r>
    </w:p>
    <w:p w:rsidR="00500FD6" w:rsidRDefault="00500FD6" w:rsidP="00975216">
      <w:pPr>
        <w:overflowPunct/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Ежедневно перед началом занятий в 1-7 </w:t>
      </w:r>
      <w:proofErr w:type="spellStart"/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>кл</w:t>
      </w:r>
      <w:proofErr w:type="spellEnd"/>
      <w:r w:rsidR="00975216" w:rsidRPr="00975216">
        <w:rPr>
          <w:rFonts w:ascii="Times New Roman" w:eastAsia="Times New Roman" w:hAnsi="Times New Roman" w:cs="Times New Roman"/>
          <w:kern w:val="0"/>
          <w:lang w:val="ru-RU" w:eastAsia="ru-RU" w:bidi="ar-SA"/>
        </w:rPr>
        <w:t>. классах проводится утренняя гимнастика, между уроками проводятся динамические перемены.</w:t>
      </w:r>
      <w:r w:rsidRPr="00500FD6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975216" w:rsidRPr="00975216" w:rsidRDefault="00500FD6" w:rsidP="00975216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3667C3">
        <w:rPr>
          <w:rFonts w:ascii="Times New Roman" w:hAnsi="Times New Roman" w:cs="Times New Roman"/>
          <w:szCs w:val="28"/>
          <w:lang w:val="ru-RU"/>
        </w:rPr>
        <w:t>ГУО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Лучниковская</w:t>
      </w:r>
      <w:proofErr w:type="spellEnd"/>
      <w:r w:rsidRPr="003667C3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3667C3">
        <w:rPr>
          <w:rFonts w:ascii="Times New Roman" w:hAnsi="Times New Roman" w:cs="Times New Roman"/>
          <w:szCs w:val="28"/>
          <w:lang w:val="ru-RU"/>
        </w:rPr>
        <w:t xml:space="preserve">средняя школа» </w:t>
      </w:r>
      <w:r w:rsidRPr="003667C3">
        <w:rPr>
          <w:rFonts w:ascii="Times New Roman" w:hAnsi="Times New Roman" w:cs="Times New Roman"/>
          <w:szCs w:val="28"/>
          <w:lang w:val="be-BY" w:bidi="ru-RU"/>
        </w:rPr>
        <w:t>сотрудничает с УЗ "</w:t>
      </w:r>
      <w:r>
        <w:rPr>
          <w:rFonts w:ascii="Times New Roman" w:hAnsi="Times New Roman" w:cs="Times New Roman"/>
          <w:szCs w:val="28"/>
          <w:lang w:val="be-BY" w:bidi="ru-RU"/>
        </w:rPr>
        <w:t>Лучниковскакая</w:t>
      </w:r>
      <w:r w:rsidRPr="003667C3">
        <w:rPr>
          <w:rFonts w:ascii="Times New Roman" w:hAnsi="Times New Roman" w:cs="Times New Roman"/>
          <w:szCs w:val="28"/>
          <w:lang w:val="be-BY" w:bidi="ru-RU"/>
        </w:rPr>
        <w:t xml:space="preserve"> врачебная амбулатория”. Учащиеся каждый месяц, согласно их месяцу рождения</w:t>
      </w:r>
      <w:r>
        <w:rPr>
          <w:rFonts w:ascii="Times New Roman" w:hAnsi="Times New Roman" w:cs="Times New Roman"/>
          <w:szCs w:val="28"/>
          <w:lang w:val="be-BY" w:bidi="ru-RU"/>
        </w:rPr>
        <w:t>,</w:t>
      </w:r>
      <w:r w:rsidRPr="003667C3">
        <w:rPr>
          <w:rFonts w:ascii="Times New Roman" w:hAnsi="Times New Roman" w:cs="Times New Roman"/>
          <w:szCs w:val="28"/>
          <w:lang w:val="be-BY" w:bidi="ru-RU"/>
        </w:rPr>
        <w:t xml:space="preserve"> проходят профилактические медицинские осмотры. Классные руководители контролируют своевременное прохождение осмотров.</w:t>
      </w:r>
    </w:p>
    <w:p w:rsidR="00C57578" w:rsidRPr="0080404B" w:rsidRDefault="00C57578" w:rsidP="002D5373">
      <w:pPr>
        <w:spacing w:after="0"/>
        <w:jc w:val="center"/>
        <w:rPr>
          <w:b/>
          <w:lang w:val="ru-RU"/>
        </w:rPr>
      </w:pPr>
    </w:p>
    <w:p w:rsidR="003667C3" w:rsidRDefault="003667C3" w:rsidP="00366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500FD6" w:rsidRDefault="00500FD6" w:rsidP="00366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500FD6" w:rsidRDefault="00500FD6" w:rsidP="003667C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be-BY" w:bidi="ru-RU"/>
        </w:rPr>
      </w:pPr>
    </w:p>
    <w:p w:rsidR="00C000C8" w:rsidRDefault="00C000C8" w:rsidP="003667C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be-BY" w:bidi="ru-RU"/>
        </w:rPr>
      </w:pPr>
    </w:p>
    <w:p w:rsidR="00C000C8" w:rsidRDefault="00C000C8" w:rsidP="003667C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be-BY" w:bidi="ru-RU"/>
        </w:rPr>
      </w:pPr>
    </w:p>
    <w:p w:rsidR="00C000C8" w:rsidRPr="003667C3" w:rsidRDefault="00C000C8" w:rsidP="003667C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be-BY" w:bidi="ru-RU"/>
        </w:rPr>
      </w:pPr>
      <w:bookmarkStart w:id="10" w:name="_GoBack"/>
      <w:bookmarkEnd w:id="10"/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9"/>
        <w:gridCol w:w="3963"/>
      </w:tblGrid>
      <w:tr w:rsidR="002D5373" w:rsidRPr="00C000C8" w:rsidTr="005131CD">
        <w:trPr>
          <w:trHeight w:val="896"/>
        </w:trPr>
        <w:tc>
          <w:tcPr>
            <w:tcW w:w="5000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5131CD" w:rsidRDefault="002D5373" w:rsidP="008233A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b/>
                <w:kern w:val="0"/>
                <w:lang w:val="ru-RU" w:eastAsia="ru-RU" w:bidi="ar-SA"/>
              </w:rPr>
            </w:pPr>
            <w:r w:rsidRPr="005131CD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val="ru-RU" w:eastAsia="ru-RU" w:bidi="ar-SA"/>
              </w:rPr>
              <w:lastRenderedPageBreak/>
              <w:t xml:space="preserve">ПЕРСОНАЛЬНЫЕ КОРРЕКЦИОННЫЕ ОЗДОРОВИТЕЛЬНЫЕ ПРОГРАММЫ ПО РЕЗУЛЬТАТАМ МЕДОСМОТРОВ ДЕТЕЙ И ПОДРОСТКОВ ПРИ ВЫЯВЛЕНИИ ПРОБЛЕМ СО ЗДОРОВЬЕМ В УЧРЕЖДЕНИЯХ ОБРАЗОВАНИЯ </w:t>
            </w:r>
          </w:p>
        </w:tc>
      </w:tr>
      <w:tr w:rsidR="002D5373" w:rsidRPr="00C000C8" w:rsidTr="008233A0">
        <w:trPr>
          <w:trHeight w:val="2180"/>
        </w:trPr>
        <w:tc>
          <w:tcPr>
            <w:tcW w:w="308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8233A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Осуществляется индивидуальный подход в организации учебного процесса (дифференцированный подход к рассадке учащихся, индивидуализация физической нагрузки и активности на учебных занятиях по физической культуре и здоровью, трудовому обучению, дифференцированное домашнее задание по некоторым учебным предметам, смена двигательной активности в течение учебного дня).</w:t>
            </w:r>
          </w:p>
        </w:tc>
        <w:tc>
          <w:tcPr>
            <w:tcW w:w="191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8233A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 xml:space="preserve">Соблюдаются нормы высоты стола и стульев. Учителя физической культуры расширили используемый комплекс упражнений для спины и укрепления мышц спины. </w:t>
            </w:r>
          </w:p>
        </w:tc>
      </w:tr>
      <w:tr w:rsidR="002D5373" w:rsidRPr="00C000C8" w:rsidTr="008233A0">
        <w:trPr>
          <w:trHeight w:val="1991"/>
        </w:trPr>
        <w:tc>
          <w:tcPr>
            <w:tcW w:w="30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8233A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Во всех учреждениях образования проводятся динамические перемены. На всех уроках проводятся физкультминутки для профилактики развития статического напряжения. Проведение утренней гимнастики во время работы дневных оздоровительных лагерей на базах УО.</w:t>
            </w:r>
          </w:p>
        </w:tc>
        <w:tc>
          <w:tcPr>
            <w:tcW w:w="19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500FD6" w:rsidP="008233A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 xml:space="preserve">Проводится </w:t>
            </w:r>
            <w:r w:rsidR="002D5373"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бучение детей навыкам самооценки здоровья в рамках уроков по учебным предметам «ОБЖ», «Человек и мир», «Физическая культура и здоровье», «Допризывная подготовка», «Медицинская подготовка».</w:t>
            </w:r>
          </w:p>
        </w:tc>
      </w:tr>
    </w:tbl>
    <w:p w:rsidR="00500FD6" w:rsidRDefault="00500FD6" w:rsidP="002D5373">
      <w:pPr>
        <w:spacing w:line="240" w:lineRule="auto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</w:p>
    <w:p w:rsidR="002D5373" w:rsidRPr="0080404B" w:rsidRDefault="002D5373" w:rsidP="00500FD6">
      <w:pPr>
        <w:spacing w:after="0" w:line="240" w:lineRule="auto"/>
        <w:ind w:firstLine="567"/>
        <w:jc w:val="both"/>
        <w:rPr>
          <w:sz w:val="22"/>
          <w:lang w:val="ru-RU"/>
        </w:rPr>
      </w:pPr>
      <w:r w:rsidRPr="00DE7F84">
        <w:rPr>
          <w:rFonts w:ascii="Times New Roman" w:hAnsi="Times New Roman" w:cs="Times New Roman"/>
          <w:szCs w:val="28"/>
          <w:lang w:val="ru-RU"/>
        </w:rPr>
        <w:t>Руководителям организаций и учреждений всех форм собственности даны рекомендации предусмотреть меры морального и материального стимулирования работников, ведущих здоровый образ жизни</w:t>
      </w:r>
      <w:r w:rsidR="00500FD6">
        <w:rPr>
          <w:rFonts w:ascii="Times New Roman" w:hAnsi="Times New Roman" w:cs="Times New Roman"/>
          <w:szCs w:val="28"/>
          <w:lang w:val="ru-RU"/>
        </w:rPr>
        <w:t>.</w:t>
      </w:r>
    </w:p>
    <w:p w:rsidR="00500FD6" w:rsidRDefault="00500FD6" w:rsidP="00500FD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2D5373" w:rsidRDefault="002D5373" w:rsidP="00500FD6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D5373">
        <w:rPr>
          <w:rFonts w:ascii="Times New Roman" w:hAnsi="Times New Roman" w:cs="Times New Roman"/>
          <w:b/>
          <w:bCs/>
          <w:lang w:val="ru-RU"/>
        </w:rPr>
        <w:t>ИНФОРМАЦИОННОЕ СОПРОВОЖДЕНИЕ</w:t>
      </w:r>
    </w:p>
    <w:p w:rsidR="002D5373" w:rsidRDefault="00500FD6" w:rsidP="00500FD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 w:rsidR="002D5373" w:rsidRPr="00EA77DF">
        <w:rPr>
          <w:rFonts w:ascii="Times New Roman" w:hAnsi="Times New Roman" w:cs="Times New Roman"/>
          <w:bCs/>
          <w:lang w:val="ru-RU"/>
        </w:rPr>
        <w:t>Информация о проекте размещается на сайтах: ГУ «Слуцкий зональный центр гигиены и эпидемиологи», Слуцкого районного исполнительного комитета, сайтах учреждений образования</w:t>
      </w:r>
      <w:r w:rsidR="003667C3">
        <w:rPr>
          <w:rFonts w:ascii="Times New Roman" w:hAnsi="Times New Roman" w:cs="Times New Roman"/>
          <w:bCs/>
          <w:lang w:val="ru-RU"/>
        </w:rPr>
        <w:t xml:space="preserve"> (ГУО «</w:t>
      </w:r>
      <w:r w:rsidR="00A23C83">
        <w:rPr>
          <w:rFonts w:ascii="Times New Roman" w:hAnsi="Times New Roman" w:cs="Times New Roman"/>
          <w:bCs/>
          <w:lang w:val="ru-RU"/>
        </w:rPr>
        <w:t>Лучниковск</w:t>
      </w:r>
      <w:r w:rsidR="00AE1315">
        <w:rPr>
          <w:rFonts w:ascii="Times New Roman" w:hAnsi="Times New Roman" w:cs="Times New Roman"/>
          <w:bCs/>
          <w:lang w:val="ru-RU"/>
        </w:rPr>
        <w:t>ая средняя школа»)</w:t>
      </w:r>
      <w:r w:rsidR="002D5373" w:rsidRPr="00EA77DF">
        <w:rPr>
          <w:rFonts w:ascii="Times New Roman" w:hAnsi="Times New Roman" w:cs="Times New Roman"/>
          <w:bCs/>
          <w:lang w:val="ru-RU"/>
        </w:rPr>
        <w:t>, районно</w:t>
      </w:r>
      <w:r w:rsidR="003667C3">
        <w:rPr>
          <w:rFonts w:ascii="Times New Roman" w:hAnsi="Times New Roman" w:cs="Times New Roman"/>
          <w:bCs/>
          <w:lang w:val="ru-RU"/>
        </w:rPr>
        <w:t>й</w:t>
      </w:r>
      <w:r w:rsidR="002D5373" w:rsidRPr="00EA77DF">
        <w:rPr>
          <w:rFonts w:ascii="Times New Roman" w:hAnsi="Times New Roman" w:cs="Times New Roman"/>
          <w:bCs/>
          <w:lang w:val="ru-RU"/>
        </w:rPr>
        <w:t xml:space="preserve"> газеты «Слуцкий край».</w:t>
      </w:r>
      <w:r w:rsidR="002D5373">
        <w:rPr>
          <w:rFonts w:ascii="Times New Roman" w:hAnsi="Times New Roman" w:cs="Times New Roman"/>
          <w:bCs/>
          <w:lang w:val="ru-RU"/>
        </w:rPr>
        <w:t xml:space="preserve"> </w:t>
      </w:r>
      <w:r w:rsidR="003667C3">
        <w:rPr>
          <w:rFonts w:ascii="Times New Roman" w:hAnsi="Times New Roman" w:cs="Times New Roman"/>
          <w:bCs/>
          <w:lang w:val="ru-RU"/>
        </w:rPr>
        <w:t>П</w:t>
      </w:r>
      <w:r w:rsidR="002D5373">
        <w:rPr>
          <w:rFonts w:ascii="Times New Roman" w:hAnsi="Times New Roman" w:cs="Times New Roman"/>
          <w:bCs/>
          <w:lang w:val="ru-RU"/>
        </w:rPr>
        <w:t xml:space="preserve">ри публикации материалов используется хештег </w:t>
      </w:r>
      <w:r w:rsidR="002D5373" w:rsidRPr="00EA77DF">
        <w:rPr>
          <w:rFonts w:ascii="Times New Roman" w:hAnsi="Times New Roman" w:cs="Times New Roman"/>
          <w:bCs/>
          <w:lang w:val="ru-RU"/>
        </w:rPr>
        <w:t>#</w:t>
      </w:r>
      <w:r w:rsidR="002D5373" w:rsidRPr="004D25CF">
        <w:rPr>
          <w:rFonts w:ascii="Times New Roman" w:hAnsi="Times New Roman" w:cs="Times New Roman"/>
          <w:szCs w:val="28"/>
          <w:lang w:val="ru-RU"/>
        </w:rPr>
        <w:t>Здоровые города и поселки</w:t>
      </w:r>
      <w:r w:rsidR="002D5373" w:rsidRPr="00EA77DF">
        <w:rPr>
          <w:rFonts w:ascii="Times New Roman" w:hAnsi="Times New Roman" w:cs="Times New Roman"/>
          <w:szCs w:val="28"/>
          <w:lang w:val="ru-RU"/>
        </w:rPr>
        <w:t>.</w:t>
      </w:r>
    </w:p>
    <w:p w:rsidR="002D5373" w:rsidRDefault="002D5373" w:rsidP="002D5373">
      <w:pPr>
        <w:tabs>
          <w:tab w:val="left" w:pos="3330"/>
        </w:tabs>
        <w:spacing w:line="240" w:lineRule="auto"/>
        <w:jc w:val="both"/>
        <w:rPr>
          <w:noProof/>
          <w:lang w:val="ru-RU" w:eastAsia="ru-RU" w:bidi="ar-SA"/>
        </w:rPr>
      </w:pPr>
      <w:r w:rsidRPr="00EA77DF">
        <w:rPr>
          <w:noProof/>
          <w:lang w:val="ru-RU" w:eastAsia="ru-RU" w:bidi="ar-SA"/>
        </w:rPr>
        <w:t xml:space="preserve"> </w:t>
      </w:r>
      <w:r w:rsidRPr="00EA77DF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C1F2A8E" wp14:editId="72B05D47">
            <wp:extent cx="2743200" cy="1933373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7" t="14881" r="10646" b="6251"/>
                    <a:stretch/>
                  </pic:blipFill>
                  <pic:spPr bwMode="auto">
                    <a:xfrm>
                      <a:off x="0" y="0"/>
                      <a:ext cx="2743200" cy="193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3B7B68" w:rsidRPr="003B7B68">
        <w:rPr>
          <w:noProof/>
          <w:lang w:val="ru-RU" w:eastAsia="ru-RU" w:bidi="ar-SA"/>
        </w:rPr>
        <w:t xml:space="preserve"> </w:t>
      </w:r>
      <w:r w:rsidR="002E7291">
        <w:rPr>
          <w:noProof/>
          <w:lang w:val="ru-RU" w:eastAsia="ru-RU" w:bidi="ar-SA"/>
        </w:rPr>
        <w:drawing>
          <wp:inline distT="0" distB="0" distL="0" distR="0" wp14:anchorId="255D197E" wp14:editId="495DA423">
            <wp:extent cx="3141212" cy="19335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4646" t="13223" r="23648" b="8264"/>
                    <a:stretch/>
                  </pic:blipFill>
                  <pic:spPr bwMode="auto">
                    <a:xfrm>
                      <a:off x="0" y="0"/>
                      <a:ext cx="3142365" cy="193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FD6" w:rsidRDefault="00500FD6" w:rsidP="002D5373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2D5373" w:rsidRDefault="002D5373" w:rsidP="002D5373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A77DF">
        <w:rPr>
          <w:rFonts w:ascii="Times New Roman" w:hAnsi="Times New Roman" w:cs="Times New Roman"/>
          <w:b/>
          <w:lang w:val="ru-RU"/>
        </w:rPr>
        <w:t>ИНФОРМАЦИОННО-ОБРАЗОВАТЕЛЬНЫЕ МАТЕРИАЛЫ О ПРОЕКТ</w:t>
      </w:r>
      <w:r>
        <w:rPr>
          <w:rFonts w:ascii="Times New Roman" w:hAnsi="Times New Roman" w:cs="Times New Roman"/>
          <w:b/>
          <w:lang w:val="ru-RU"/>
        </w:rPr>
        <w:t>Е</w:t>
      </w:r>
    </w:p>
    <w:p w:rsidR="003B7B68" w:rsidRDefault="00500FD6" w:rsidP="00500FD6">
      <w:pPr>
        <w:tabs>
          <w:tab w:val="left" w:pos="0"/>
        </w:tabs>
        <w:spacing w:line="240" w:lineRule="auto"/>
        <w:jc w:val="both"/>
        <w:rPr>
          <w:noProof/>
          <w:lang w:val="ru-RU" w:eastAsia="ru-RU" w:bidi="ar-SA"/>
        </w:rPr>
      </w:pPr>
      <w:r>
        <w:rPr>
          <w:rFonts w:ascii="Times New Roman" w:hAnsi="Times New Roman" w:cs="Times New Roman"/>
          <w:lang w:val="ru-RU"/>
        </w:rPr>
        <w:tab/>
      </w:r>
      <w:r w:rsidR="002D5373" w:rsidRPr="00EA77DF">
        <w:rPr>
          <w:rFonts w:ascii="Times New Roman" w:hAnsi="Times New Roman" w:cs="Times New Roman"/>
          <w:lang w:val="ru-RU"/>
        </w:rPr>
        <w:t>В рамках проекта разрабатываются и издаются информационно-образова</w:t>
      </w:r>
      <w:r w:rsidR="002D5373">
        <w:rPr>
          <w:rFonts w:ascii="Times New Roman" w:hAnsi="Times New Roman" w:cs="Times New Roman"/>
          <w:lang w:val="ru-RU"/>
        </w:rPr>
        <w:t>тельные материалы п</w:t>
      </w:r>
      <w:r w:rsidR="002D5373" w:rsidRPr="00EA77DF">
        <w:rPr>
          <w:rFonts w:ascii="Times New Roman" w:hAnsi="Times New Roman" w:cs="Times New Roman"/>
          <w:lang w:val="ru-RU"/>
        </w:rPr>
        <w:t>о профилактике заболеваний</w:t>
      </w:r>
      <w:r w:rsidR="002D5373">
        <w:rPr>
          <w:rFonts w:ascii="Times New Roman" w:hAnsi="Times New Roman" w:cs="Times New Roman"/>
          <w:lang w:val="ru-RU"/>
        </w:rPr>
        <w:t>, ЗОЖ</w:t>
      </w:r>
      <w:r w:rsidR="002D5373" w:rsidRPr="00EA77DF">
        <w:rPr>
          <w:rFonts w:ascii="Times New Roman" w:hAnsi="Times New Roman" w:cs="Times New Roman"/>
          <w:lang w:val="ru-RU"/>
        </w:rPr>
        <w:t xml:space="preserve"> (с использованием эмблемы проекта)</w:t>
      </w:r>
      <w:r w:rsidR="002D5373">
        <w:rPr>
          <w:rFonts w:ascii="Times New Roman" w:hAnsi="Times New Roman" w:cs="Times New Roman"/>
          <w:lang w:val="ru-RU"/>
        </w:rPr>
        <w:t xml:space="preserve">. </w:t>
      </w:r>
      <w:r w:rsidR="006E337B">
        <w:rPr>
          <w:rFonts w:ascii="Times New Roman" w:hAnsi="Times New Roman" w:cs="Times New Roman"/>
          <w:lang w:val="ru-RU"/>
        </w:rPr>
        <w:t>В 2025 году и</w:t>
      </w:r>
      <w:r w:rsidR="002D5373">
        <w:rPr>
          <w:rFonts w:ascii="Times New Roman" w:hAnsi="Times New Roman" w:cs="Times New Roman"/>
          <w:lang w:val="ru-RU"/>
        </w:rPr>
        <w:t>здавалась сувенирная продукция (календари</w:t>
      </w:r>
      <w:r w:rsidR="006E337B">
        <w:rPr>
          <w:rFonts w:ascii="Times New Roman" w:hAnsi="Times New Roman" w:cs="Times New Roman"/>
          <w:lang w:val="ru-RU"/>
        </w:rPr>
        <w:t>, магниты, ручки</w:t>
      </w:r>
      <w:r w:rsidR="002D5373">
        <w:rPr>
          <w:rFonts w:ascii="Times New Roman" w:hAnsi="Times New Roman" w:cs="Times New Roman"/>
          <w:lang w:val="ru-RU"/>
        </w:rPr>
        <w:t>)</w:t>
      </w:r>
      <w:r w:rsidR="00EB329B">
        <w:rPr>
          <w:rFonts w:ascii="Times New Roman" w:hAnsi="Times New Roman" w:cs="Times New Roman"/>
          <w:lang w:val="ru-RU"/>
        </w:rPr>
        <w:t xml:space="preserve">, </w:t>
      </w:r>
      <w:bookmarkStart w:id="11" w:name="_Hlk224297569"/>
      <w:r w:rsidR="00EB329B">
        <w:rPr>
          <w:rFonts w:ascii="Times New Roman" w:hAnsi="Times New Roman" w:cs="Times New Roman"/>
          <w:lang w:val="ru-RU"/>
        </w:rPr>
        <w:t xml:space="preserve">был напечатан </w:t>
      </w:r>
      <w:proofErr w:type="spellStart"/>
      <w:r w:rsidR="006E337B">
        <w:rPr>
          <w:rFonts w:ascii="Times New Roman" w:hAnsi="Times New Roman" w:cs="Times New Roman"/>
          <w:lang w:val="ru-RU"/>
        </w:rPr>
        <w:t>роллап</w:t>
      </w:r>
      <w:proofErr w:type="spellEnd"/>
      <w:r w:rsidR="00EB329B">
        <w:rPr>
          <w:rFonts w:ascii="Times New Roman" w:hAnsi="Times New Roman" w:cs="Times New Roman"/>
          <w:lang w:val="ru-RU"/>
        </w:rPr>
        <w:t xml:space="preserve"> «Здоровые города и поселки»</w:t>
      </w:r>
      <w:r w:rsidR="002D5373">
        <w:rPr>
          <w:rFonts w:ascii="Times New Roman" w:hAnsi="Times New Roman" w:cs="Times New Roman"/>
          <w:lang w:val="ru-RU"/>
        </w:rPr>
        <w:t>.</w:t>
      </w:r>
      <w:bookmarkEnd w:id="11"/>
    </w:p>
    <w:sectPr w:rsidR="003B7B68" w:rsidSect="00C511C6">
      <w:pgSz w:w="11906" w:h="16838"/>
      <w:pgMar w:top="709" w:right="566" w:bottom="1134" w:left="1276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3C7"/>
    <w:multiLevelType w:val="hybridMultilevel"/>
    <w:tmpl w:val="E442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7F40"/>
    <w:multiLevelType w:val="hybridMultilevel"/>
    <w:tmpl w:val="8DDCCA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D6AC3"/>
    <w:multiLevelType w:val="hybridMultilevel"/>
    <w:tmpl w:val="34F64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75694"/>
    <w:multiLevelType w:val="hybridMultilevel"/>
    <w:tmpl w:val="7AE046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5580"/>
    <w:multiLevelType w:val="hybridMultilevel"/>
    <w:tmpl w:val="CF6E5B58"/>
    <w:lvl w:ilvl="0" w:tplc="6194E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B4F51"/>
    <w:multiLevelType w:val="hybridMultilevel"/>
    <w:tmpl w:val="E442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7F9A"/>
    <w:multiLevelType w:val="hybridMultilevel"/>
    <w:tmpl w:val="235032EE"/>
    <w:lvl w:ilvl="0" w:tplc="1C7C38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F0ED9"/>
    <w:multiLevelType w:val="hybridMultilevel"/>
    <w:tmpl w:val="2ECEF1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2F"/>
    <w:rsid w:val="000411D9"/>
    <w:rsid w:val="0006103C"/>
    <w:rsid w:val="00095C62"/>
    <w:rsid w:val="000F72A8"/>
    <w:rsid w:val="0011165A"/>
    <w:rsid w:val="001179C9"/>
    <w:rsid w:val="00130099"/>
    <w:rsid w:val="00145A8C"/>
    <w:rsid w:val="00163EDE"/>
    <w:rsid w:val="001D5EBE"/>
    <w:rsid w:val="0020102A"/>
    <w:rsid w:val="002B0C43"/>
    <w:rsid w:val="002D5373"/>
    <w:rsid w:val="002E7291"/>
    <w:rsid w:val="00307138"/>
    <w:rsid w:val="003667C3"/>
    <w:rsid w:val="00387444"/>
    <w:rsid w:val="003B7B68"/>
    <w:rsid w:val="00442237"/>
    <w:rsid w:val="00446397"/>
    <w:rsid w:val="00451E03"/>
    <w:rsid w:val="004A76C9"/>
    <w:rsid w:val="00500FD6"/>
    <w:rsid w:val="005131CD"/>
    <w:rsid w:val="005758CE"/>
    <w:rsid w:val="00591804"/>
    <w:rsid w:val="00647ACF"/>
    <w:rsid w:val="00660083"/>
    <w:rsid w:val="006E337B"/>
    <w:rsid w:val="006F3858"/>
    <w:rsid w:val="00726696"/>
    <w:rsid w:val="007339C0"/>
    <w:rsid w:val="00753F42"/>
    <w:rsid w:val="00807E37"/>
    <w:rsid w:val="00822EE3"/>
    <w:rsid w:val="008233A0"/>
    <w:rsid w:val="00835B34"/>
    <w:rsid w:val="008A2FFA"/>
    <w:rsid w:val="00975216"/>
    <w:rsid w:val="00982BF6"/>
    <w:rsid w:val="009F070B"/>
    <w:rsid w:val="00A23C83"/>
    <w:rsid w:val="00A95D5A"/>
    <w:rsid w:val="00AD56A9"/>
    <w:rsid w:val="00AE1315"/>
    <w:rsid w:val="00B4222F"/>
    <w:rsid w:val="00B830BA"/>
    <w:rsid w:val="00BA6DC1"/>
    <w:rsid w:val="00BD6535"/>
    <w:rsid w:val="00BE54E2"/>
    <w:rsid w:val="00BE6E73"/>
    <w:rsid w:val="00C000C8"/>
    <w:rsid w:val="00C00FAD"/>
    <w:rsid w:val="00C511C6"/>
    <w:rsid w:val="00C57578"/>
    <w:rsid w:val="00C64D06"/>
    <w:rsid w:val="00C74B17"/>
    <w:rsid w:val="00C979D6"/>
    <w:rsid w:val="00CE6D63"/>
    <w:rsid w:val="00D122F1"/>
    <w:rsid w:val="00D22818"/>
    <w:rsid w:val="00D50A3F"/>
    <w:rsid w:val="00D7774D"/>
    <w:rsid w:val="00DC29F8"/>
    <w:rsid w:val="00DC77D0"/>
    <w:rsid w:val="00DE0D29"/>
    <w:rsid w:val="00E327C2"/>
    <w:rsid w:val="00E874F7"/>
    <w:rsid w:val="00EB329B"/>
    <w:rsid w:val="00ED520C"/>
    <w:rsid w:val="00E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51EF"/>
  <w15:docId w15:val="{241CB1F3-D9A3-4FB0-AFFB-72B9CF9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373"/>
    <w:pPr>
      <w:overflowPunct w:val="0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1D5EBE"/>
    <w:pPr>
      <w:overflowPunc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D5373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val="en-US" w:eastAsia="zh-CN" w:bidi="hi-IN"/>
    </w:rPr>
  </w:style>
  <w:style w:type="character" w:customStyle="1" w:styleId="ListLabel1">
    <w:name w:val="ListLabel 1"/>
    <w:qFormat/>
    <w:rsid w:val="002D5373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link w:val="a4"/>
    <w:qFormat/>
    <w:rsid w:val="002D5373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table" w:styleId="-5">
    <w:name w:val="Light List Accent 5"/>
    <w:basedOn w:val="a1"/>
    <w:uiPriority w:val="61"/>
    <w:rsid w:val="002D537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Title"/>
    <w:basedOn w:val="a"/>
    <w:next w:val="a"/>
    <w:link w:val="a6"/>
    <w:uiPriority w:val="10"/>
    <w:qFormat/>
    <w:rsid w:val="002D5373"/>
    <w:pPr>
      <w:pBdr>
        <w:bottom w:val="single" w:sz="8" w:space="4" w:color="4F81BD" w:themeColor="accent1"/>
      </w:pBdr>
      <w:overflowPunct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 w:bidi="ar-SA"/>
    </w:rPr>
  </w:style>
  <w:style w:type="character" w:customStyle="1" w:styleId="a6">
    <w:name w:val="Заголовок Знак"/>
    <w:basedOn w:val="a0"/>
    <w:link w:val="a5"/>
    <w:uiPriority w:val="10"/>
    <w:rsid w:val="002D5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2D5373"/>
    <w:pPr>
      <w:numPr>
        <w:ilvl w:val="1"/>
      </w:numPr>
      <w:overflowPunct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ru-RU" w:bidi="ar-SA"/>
    </w:rPr>
  </w:style>
  <w:style w:type="character" w:customStyle="1" w:styleId="a8">
    <w:name w:val="Подзаголовок Знак"/>
    <w:basedOn w:val="a0"/>
    <w:link w:val="a7"/>
    <w:uiPriority w:val="11"/>
    <w:rsid w:val="002D53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537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73"/>
    <w:rPr>
      <w:rFonts w:ascii="Tahoma" w:eastAsia="NSimSun" w:hAnsi="Tahoma" w:cs="Mangal"/>
      <w:kern w:val="2"/>
      <w:sz w:val="16"/>
      <w:szCs w:val="14"/>
      <w:lang w:val="en-US" w:eastAsia="zh-CN" w:bidi="hi-IN"/>
    </w:rPr>
  </w:style>
  <w:style w:type="table" w:styleId="ab">
    <w:name w:val="Table Grid"/>
    <w:basedOn w:val="a1"/>
    <w:uiPriority w:val="59"/>
    <w:rsid w:val="00C57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5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D5EBE"/>
  </w:style>
  <w:style w:type="character" w:customStyle="1" w:styleId="a4">
    <w:name w:val="Абзац списка Знак"/>
    <w:link w:val="a3"/>
    <w:locked/>
    <w:rsid w:val="00095C62"/>
  </w:style>
  <w:style w:type="character" w:styleId="ac">
    <w:name w:val="Hyperlink"/>
    <w:basedOn w:val="a0"/>
    <w:uiPriority w:val="99"/>
    <w:unhideWhenUsed/>
    <w:rsid w:val="00446397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5758CE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cite-bracket">
    <w:name w:val="cite-bracket"/>
    <w:basedOn w:val="a0"/>
    <w:rsid w:val="005758CE"/>
  </w:style>
  <w:style w:type="character" w:customStyle="1" w:styleId="12">
    <w:name w:val="Неразрешенное упоминание1"/>
    <w:basedOn w:val="a0"/>
    <w:uiPriority w:val="99"/>
    <w:semiHidden/>
    <w:unhideWhenUsed/>
    <w:rsid w:val="00823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B%D0%BE%D1%80%D1%83%D1%81%D1%81%D0%BA%D0%B8%D0%B9_%D1%8F%D0%B7%D1%8B%D0%BA" TargetMode="External"/><Relationship Id="rId13" Type="http://schemas.openxmlformats.org/officeDocument/2006/relationships/hyperlink" Target="https://lychniki.slutsk-vedy.gov.by/&#1074;&#1086;&#1089;&#1087;&#1080;&#1090;&#1072;&#1090;&#1077;&#1083;&#1100;&#1085;&#1072;&#1103;-&#1088;&#1072;&#1073;&#1086;&#1090;&#1072;/vospitanie-kultury-bezopasnosti-jiznedeiatelnosti-i-zdorovogo-obraza-jizni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-k.b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-k.by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s://s-k.b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lychniki.slutsk-vedy.gov.b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233A85F8214617932B3B0B41A20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E24CF-85D5-41D7-AC85-F8A44F374FC2}"/>
      </w:docPartPr>
      <w:docPartBody>
        <w:p w:rsidR="00C33C0E" w:rsidRDefault="007D3EAD" w:rsidP="007D3EAD">
          <w:pPr>
            <w:pStyle w:val="8D233A85F8214617932B3B0B41A20519"/>
          </w:pPr>
          <w:r>
            <w:rPr>
              <w:rFonts w:asciiTheme="majorHAnsi" w:hAnsiTheme="majorHAns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76B41155644645BDBF455661508CD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5B41D-F192-4C81-96FB-C0239AC2566A}"/>
      </w:docPartPr>
      <w:docPartBody>
        <w:p w:rsidR="00C33C0E" w:rsidRDefault="007D3EAD" w:rsidP="007D3EAD">
          <w:pPr>
            <w:pStyle w:val="76B41155644645BDBF455661508CDBB1"/>
          </w:pPr>
          <w:r>
            <w:rPr>
              <w:rFonts w:asciiTheme="majorHAnsi" w:hAnsiTheme="majorHAns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628"/>
    <w:rsid w:val="000B20CF"/>
    <w:rsid w:val="002C5DEA"/>
    <w:rsid w:val="004F0AA7"/>
    <w:rsid w:val="007D3EAD"/>
    <w:rsid w:val="008D1785"/>
    <w:rsid w:val="00B73628"/>
    <w:rsid w:val="00BF5850"/>
    <w:rsid w:val="00C33C0E"/>
    <w:rsid w:val="00D50905"/>
    <w:rsid w:val="00D529DF"/>
    <w:rsid w:val="00D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FD5493214F44939FB68853C00FE6DD">
    <w:name w:val="DAFD5493214F44939FB68853C00FE6DD"/>
    <w:rsid w:val="00B73628"/>
  </w:style>
  <w:style w:type="paragraph" w:customStyle="1" w:styleId="E1B665E9AD684A87B8B0ABEA50FE0627">
    <w:name w:val="E1B665E9AD684A87B8B0ABEA50FE0627"/>
    <w:rsid w:val="00B73628"/>
  </w:style>
  <w:style w:type="paragraph" w:customStyle="1" w:styleId="8D233A85F8214617932B3B0B41A20519">
    <w:name w:val="8D233A85F8214617932B3B0B41A20519"/>
    <w:rsid w:val="007D3EAD"/>
  </w:style>
  <w:style w:type="paragraph" w:customStyle="1" w:styleId="76B41155644645BDBF455661508CDBB1">
    <w:name w:val="76B41155644645BDBF455661508CDBB1"/>
    <w:rsid w:val="007D3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11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ПРОФИЛЬ ЗДОРОВЬЯ</vt:lpstr>
    </vt:vector>
  </TitlesOfParts>
  <Company/>
  <LinksUpToDate>false</LinksUpToDate>
  <CharactersWithSpaces>28256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ПРОФИЛЬ ЗДОРОВЬЯ</dc:title>
  <dc:subject>«АГРОГОРОДОК ЛУЧНИКИ – ЗДОРОВЫЙ ПОСЁЛОК»</dc:subject>
  <dc:creator>михновец</dc:creator>
  <cp:keywords/>
  <dc:description/>
  <cp:lastModifiedBy>User</cp:lastModifiedBy>
  <cp:revision>51</cp:revision>
  <cp:lastPrinted>2026-03-13T07:52:00Z</cp:lastPrinted>
  <dcterms:created xsi:type="dcterms:W3CDTF">2026-01-12T07:31:00Z</dcterms:created>
  <dcterms:modified xsi:type="dcterms:W3CDTF">2026-03-17T07:43:00Z</dcterms:modified>
</cp:coreProperties>
</file>